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hanging="440" w:hangingChars="200"/>
      </w:pPr>
      <w:r>
        <w:t xml:space="preserve">24．有研究者指出，在中国古代，血缘是政治权力与国家产生的根源，当至高无上的神权、政权产生后，又反过 来剥离部分成员的血缘关系并减低其作用，促使社会阶层的分化。这说明 </w:t>
      </w:r>
    </w:p>
    <w:p>
      <w:r>
        <w:rPr>
          <w:rFonts w:hint="eastAsia"/>
        </w:rPr>
        <w:t xml:space="preserve">    </w:t>
      </w:r>
      <w:r>
        <w:t xml:space="preserve">A．儒家思想根植于久远的历史传统 </w:t>
      </w:r>
      <w:r>
        <w:tab/>
      </w:r>
      <w:r>
        <w:rPr>
          <w:rFonts w:hint="eastAsia"/>
        </w:rPr>
        <w:t xml:space="preserve">     </w:t>
      </w:r>
      <w:r>
        <w:t xml:space="preserve">B．血缘与政治秩序建构的对立统一 </w:t>
      </w:r>
    </w:p>
    <w:p>
      <w:r>
        <w:rPr>
          <w:rFonts w:hint="eastAsia"/>
        </w:rPr>
        <w:t xml:space="preserve">    </w:t>
      </w:r>
      <w:r>
        <w:t xml:space="preserve">C．血缘关系是等级分化制度的基础 </w:t>
      </w:r>
      <w:r>
        <w:tab/>
      </w:r>
      <w:r>
        <w:rPr>
          <w:rFonts w:hint="eastAsia"/>
        </w:rPr>
        <w:t xml:space="preserve">     </w:t>
      </w:r>
      <w:r>
        <w:t xml:space="preserve">D．家国一体政治架构的社会合理性 </w:t>
      </w:r>
    </w:p>
    <w:p>
      <w:pPr>
        <w:ind w:left="420" w:hanging="440" w:hangingChars="200"/>
        <w:rPr>
          <w:rFonts w:hint="eastAsia"/>
        </w:rPr>
      </w:pPr>
      <w:r>
        <w:t>25．</w:t>
      </w:r>
      <w:r>
        <w:rPr>
          <w:rFonts w:hint="eastAsia"/>
        </w:rPr>
        <w:t>“</w:t>
      </w:r>
      <w:r>
        <w:t>灾异示警</w:t>
      </w:r>
      <w:r>
        <w:rPr>
          <w:rFonts w:hint="eastAsia"/>
        </w:rPr>
        <w:t>”</w:t>
      </w:r>
      <w:r>
        <w:t>是中国古代神学政治理论的核心主张，更是中国古代言谏文化与制度的精神支柱，由于其与</w:t>
      </w:r>
      <w:r>
        <w:rPr>
          <w:rFonts w:hint="eastAsia"/>
        </w:rPr>
        <w:t>“</w:t>
      </w:r>
      <w:r>
        <w:t>君权神授</w:t>
      </w:r>
      <w:r>
        <w:rPr>
          <w:rFonts w:hint="eastAsia"/>
        </w:rPr>
        <w:t>”</w:t>
      </w:r>
      <w:r>
        <w:t xml:space="preserve">同为中国古代天命哲学的构成基础而广为统治阶级所接受，代代相传而深入人心。这表明 </w:t>
      </w:r>
    </w:p>
    <w:p>
      <w:pPr>
        <w:rPr>
          <w:rFonts w:hint="eastAsia"/>
        </w:rPr>
      </w:pPr>
      <w:r>
        <w:rPr>
          <w:rFonts w:hint="eastAsia"/>
        </w:rPr>
        <w:t xml:space="preserve">    </w:t>
      </w:r>
      <w:r>
        <w:t xml:space="preserve">A．君主专制催生了“君权神授”思想 </w:t>
      </w:r>
      <w:r>
        <w:tab/>
      </w:r>
      <w:r>
        <w:rPr>
          <w:rFonts w:hint="eastAsia"/>
        </w:rPr>
        <w:t xml:space="preserve">     </w:t>
      </w:r>
      <w:r>
        <w:t xml:space="preserve">B．“灾异示警”有效制约了君主集权 </w:t>
      </w:r>
    </w:p>
    <w:p>
      <w:r>
        <w:rPr>
          <w:rFonts w:hint="eastAsia"/>
        </w:rPr>
        <w:t xml:space="preserve">    </w:t>
      </w:r>
      <w:r>
        <w:t xml:space="preserve">C．言谏制度源于原始宗教迷信思想 </w:t>
      </w:r>
      <w:r>
        <w:tab/>
      </w:r>
      <w:r>
        <w:rPr>
          <w:rFonts w:hint="eastAsia"/>
        </w:rPr>
        <w:t xml:space="preserve">     </w:t>
      </w:r>
      <w:r>
        <w:t xml:space="preserve">D．统治者借宗教思想稳定政治秩序 </w:t>
      </w:r>
    </w:p>
    <w:p>
      <w:pPr>
        <w:ind w:left="420" w:hanging="440" w:hangingChars="200"/>
        <w:rPr>
          <w:rFonts w:hint="eastAsia"/>
        </w:rPr>
      </w:pPr>
      <w:r>
        <w:t>26．隋代史官属于皇帝侍臣，通过忠实履行其职权，记录皇帝的</w:t>
      </w:r>
      <w:r>
        <w:rPr>
          <w:rFonts w:hint="eastAsia"/>
        </w:rPr>
        <w:t>“</w:t>
      </w:r>
      <w:r>
        <w:t>动作法度</w:t>
      </w:r>
      <w:r>
        <w:rPr>
          <w:rFonts w:hint="eastAsia"/>
        </w:rPr>
        <w:t>”，</w:t>
      </w:r>
      <w:r>
        <w:t xml:space="preserve">使当代皇帝畏于死后留下臭名而有所顾忌，更使后代皇帝行为举止有所殷鉴，从而实现其存在的政治意义。这表明隋代史官 </w:t>
      </w:r>
    </w:p>
    <w:p>
      <w:pPr>
        <w:rPr>
          <w:rFonts w:hint="eastAsia"/>
        </w:rPr>
      </w:pPr>
      <w:r>
        <w:rPr>
          <w:rFonts w:hint="eastAsia"/>
        </w:rPr>
        <w:t xml:space="preserve">    </w:t>
      </w:r>
      <w:r>
        <w:t xml:space="preserve">A．在一定程度上起到了限制皇权的作用 </w:t>
      </w:r>
      <w:r>
        <w:tab/>
      </w:r>
      <w:r>
        <w:rPr>
          <w:rFonts w:hint="eastAsia"/>
        </w:rPr>
        <w:t xml:space="preserve"> </w:t>
      </w:r>
      <w:r>
        <w:t xml:space="preserve">B．因侍奉皇帝而影响记载史实的客观性 </w:t>
      </w:r>
    </w:p>
    <w:p>
      <w:r>
        <w:rPr>
          <w:rFonts w:hint="eastAsia"/>
        </w:rPr>
        <w:t xml:space="preserve">    </w:t>
      </w:r>
      <w:r>
        <w:t xml:space="preserve">C．工作认真负责而成为后世史官的典范 </w:t>
      </w:r>
      <w:r>
        <w:tab/>
      </w:r>
      <w:r>
        <w:rPr>
          <w:rFonts w:hint="eastAsia"/>
        </w:rPr>
        <w:t xml:space="preserve"> </w:t>
      </w:r>
      <w:r>
        <w:t xml:space="preserve">D．因参与政治管理而淡化历史记录职能 </w:t>
      </w:r>
    </w:p>
    <w:p>
      <w:pPr>
        <w:ind w:left="420" w:hanging="440" w:hangingChars="200"/>
      </w:pPr>
      <w:r>
        <w:t>27．隋唐以前，政府规定，</w:t>
      </w:r>
      <w:r>
        <w:rPr>
          <w:rFonts w:hint="eastAsia"/>
        </w:rPr>
        <w:t>“</w:t>
      </w:r>
      <w:r>
        <w:t>兄弟均分</w:t>
      </w:r>
      <w:r>
        <w:rPr>
          <w:rFonts w:hint="eastAsia"/>
        </w:rPr>
        <w:t>”</w:t>
      </w:r>
      <w:r>
        <w:t>和</w:t>
      </w:r>
      <w:r>
        <w:rPr>
          <w:rFonts w:hint="eastAsia"/>
        </w:rPr>
        <w:t>“</w:t>
      </w:r>
      <w:r>
        <w:t>子承父分</w:t>
      </w:r>
      <w:r>
        <w:rPr>
          <w:rFonts w:hint="eastAsia"/>
        </w:rPr>
        <w:t>”</w:t>
      </w:r>
      <w:r>
        <w:t xml:space="preserve">是标准的财产继承原则，唐中期以后，在室女、出嫁女、 归宗女对户绝财产已有一定的继承权，且在无宗室继承人的情况下，遗嘱继承人已具有高于其他继承人的资格。 这种变化反映了 </w:t>
      </w:r>
    </w:p>
    <w:p>
      <w:r>
        <w:rPr>
          <w:rFonts w:hint="eastAsia"/>
        </w:rPr>
        <w:t xml:space="preserve">    </w:t>
      </w:r>
      <w:r>
        <w:t xml:space="preserve">A．宗法血缘关系的根深蒂固 </w:t>
      </w:r>
      <w:r>
        <w:tab/>
      </w:r>
      <w:r>
        <w:rPr>
          <w:rFonts w:hint="eastAsia"/>
        </w:rPr>
        <w:t xml:space="preserve">             </w:t>
      </w:r>
      <w:r>
        <w:t xml:space="preserve">B．商品经济冲击家庭伦理   </w:t>
      </w:r>
    </w:p>
    <w:p>
      <w:r>
        <w:rPr>
          <w:rFonts w:hint="eastAsia"/>
        </w:rPr>
        <w:t xml:space="preserve">    </w:t>
      </w:r>
      <w:r>
        <w:t xml:space="preserve">C．国家对财产私有权的保护 </w:t>
      </w:r>
      <w:r>
        <w:tab/>
      </w:r>
      <w:r>
        <w:rPr>
          <w:rFonts w:hint="eastAsia"/>
        </w:rPr>
        <w:t xml:space="preserve">             </w:t>
      </w:r>
      <w:r>
        <w:t xml:space="preserve">D．均田制度已经难以为继 </w:t>
      </w:r>
    </w:p>
    <w:p>
      <w:pPr>
        <w:ind w:left="420" w:hanging="440" w:hangingChars="200"/>
      </w:pPr>
      <w:r>
        <w:t>28．《申报》1894 年 8 月 4 日报道：</w:t>
      </w:r>
      <w:r>
        <w:rPr>
          <w:rFonts w:hint="eastAsia"/>
        </w:rPr>
        <w:t>“</w:t>
      </w:r>
      <w:r>
        <w:t>中国之地虽十倍于日本，中国之人虽数十倍于日本 ,而中国不见甚强，日本不见甚弱，何也？以日本之能专心西法，一切政教号令皆一遵夫泰西之所为，自维新以来 ,寝寝乎称雄于东海， 而泰西诸国亦皆喜其能拜下风也。</w:t>
      </w:r>
      <w:r>
        <w:rPr>
          <w:rFonts w:hint="eastAsia"/>
        </w:rPr>
        <w:t>”</w:t>
      </w:r>
      <w:r>
        <w:t xml:space="preserve">这种观点 </w:t>
      </w:r>
    </w:p>
    <w:p>
      <w:r>
        <w:rPr>
          <w:rFonts w:hint="eastAsia"/>
        </w:rPr>
        <w:t xml:space="preserve">    </w:t>
      </w:r>
      <w:r>
        <w:t xml:space="preserve">A．为清廷妥协派提供依据 </w:t>
      </w:r>
      <w:r>
        <w:tab/>
      </w:r>
      <w:r>
        <w:rPr>
          <w:rFonts w:hint="eastAsia"/>
        </w:rPr>
        <w:t xml:space="preserve">            </w:t>
      </w:r>
      <w:r>
        <w:t xml:space="preserve">B．揭示甲午战败的根本原因 </w:t>
      </w:r>
    </w:p>
    <w:p>
      <w:r>
        <w:rPr>
          <w:rFonts w:hint="eastAsia"/>
        </w:rPr>
        <w:t xml:space="preserve">    </w:t>
      </w:r>
      <w:r>
        <w:t xml:space="preserve">C．主张学习日本变法维新   </w:t>
      </w:r>
      <w:r>
        <w:tab/>
      </w:r>
      <w:r>
        <w:rPr>
          <w:rFonts w:hint="eastAsia"/>
        </w:rPr>
        <w:t xml:space="preserve">            </w:t>
      </w:r>
      <w:r>
        <w:t xml:space="preserve">D．反映了国人示弱怯战心理 </w:t>
      </w:r>
    </w:p>
    <w:p>
      <w:pPr>
        <w:ind w:left="420" w:hanging="440" w:hangingChars="200"/>
      </w:pPr>
      <w:r>
        <w:t>29．胡适出版于新文化运动高潮期间的《中国哲学史大纲》中指出</w:t>
      </w:r>
      <w:r>
        <w:rPr>
          <w:rFonts w:hint="eastAsia"/>
        </w:rPr>
        <w:t>“</w:t>
      </w:r>
      <w:r>
        <w:t>孔子论知识注重‘一以贯之’，注重推论，本来很好。只可惜他把‘学’字看作读书的学问</w:t>
      </w:r>
      <w:r>
        <w:rPr>
          <w:rFonts w:hint="eastAsia"/>
        </w:rPr>
        <w:t>”</w:t>
      </w:r>
      <w:r>
        <w:t>，因而造成某些</w:t>
      </w:r>
      <w:r>
        <w:rPr>
          <w:rFonts w:hint="eastAsia"/>
        </w:rPr>
        <w:t>“</w:t>
      </w:r>
      <w:r>
        <w:t>流弊</w:t>
      </w:r>
      <w:r>
        <w:rPr>
          <w:rFonts w:hint="eastAsia"/>
        </w:rPr>
        <w:t>”</w:t>
      </w:r>
      <w:r>
        <w:t xml:space="preserve">。这表明 </w:t>
      </w:r>
    </w:p>
    <w:p>
      <w:r>
        <w:rPr>
          <w:rFonts w:hint="eastAsia"/>
        </w:rPr>
        <w:t xml:space="preserve">    </w:t>
      </w:r>
      <w:r>
        <w:t xml:space="preserve">A．旧道德与新文化势同水火  </w:t>
      </w:r>
      <w:r>
        <w:tab/>
      </w:r>
      <w:r>
        <w:rPr>
          <w:rFonts w:hint="eastAsia"/>
        </w:rPr>
        <w:t xml:space="preserve">            </w:t>
      </w:r>
      <w:r>
        <w:t xml:space="preserve">B．西学已占据文化主流 </w:t>
      </w:r>
    </w:p>
    <w:p>
      <w:r>
        <w:rPr>
          <w:rFonts w:hint="eastAsia"/>
        </w:rPr>
        <w:t xml:space="preserve">    </w:t>
      </w:r>
      <w:r>
        <w:t xml:space="preserve">C．传统思想的继承困难重重  </w:t>
      </w:r>
      <w:r>
        <w:tab/>
      </w:r>
      <w:r>
        <w:rPr>
          <w:rFonts w:hint="eastAsia"/>
        </w:rPr>
        <w:t xml:space="preserve">            </w:t>
      </w:r>
      <w:r>
        <w:t xml:space="preserve">D．学者检讨儒学的得失 </w:t>
      </w:r>
    </w:p>
    <w:p>
      <w:pPr>
        <w:ind w:left="420" w:hanging="440" w:hangingChars="200"/>
        <w:rPr>
          <w:rFonts w:hint="eastAsia"/>
        </w:rPr>
      </w:pPr>
      <w:r>
        <w:t xml:space="preserve">30．据记载，1935—1942 年间，陕西共设立大小新式工厂 150 余家，平均每年建厂 19 个；资本在 10 万元以上的有 59 家，100 万元以上的有 13 家，资本总额 5202 万元，为民国前期新式工业资本总额的 28 倍。这表明抗战时期 </w:t>
      </w:r>
    </w:p>
    <w:p>
      <w:r>
        <w:rPr>
          <w:rFonts w:hint="eastAsia"/>
        </w:rPr>
        <w:t xml:space="preserve">    </w:t>
      </w:r>
      <w:r>
        <w:t xml:space="preserve">A．区域经济发展不平衡突出 </w:t>
      </w:r>
      <w:r>
        <w:tab/>
      </w:r>
      <w:r>
        <w:rPr>
          <w:rFonts w:hint="eastAsia"/>
        </w:rPr>
        <w:t xml:space="preserve">            </w:t>
      </w:r>
      <w:r>
        <w:t xml:space="preserve">B．抗日根据地建设效果明显 </w:t>
      </w:r>
    </w:p>
    <w:tbl>
      <w:tblPr>
        <w:tblStyle w:val="5"/>
        <w:tblpPr w:leftFromText="180" w:rightFromText="180" w:vertAnchor="text" w:horzAnchor="page" w:tblpX="1758" w:tblpY="1419"/>
        <w:tblW w:w="9077" w:type="dxa"/>
        <w:tblInd w:w="0" w:type="dxa"/>
        <w:tblLayout w:type="fixed"/>
        <w:tblCellMar>
          <w:top w:w="0" w:type="dxa"/>
          <w:left w:w="0" w:type="dxa"/>
          <w:bottom w:w="0" w:type="dxa"/>
          <w:right w:w="0" w:type="dxa"/>
        </w:tblCellMar>
      </w:tblPr>
      <w:tblGrid>
        <w:gridCol w:w="1726"/>
        <w:gridCol w:w="1879"/>
        <w:gridCol w:w="960"/>
        <w:gridCol w:w="2665"/>
        <w:gridCol w:w="1847"/>
      </w:tblGrid>
      <w:tr>
        <w:tblPrEx>
          <w:tblLayout w:type="fixed"/>
          <w:tblCellMar>
            <w:top w:w="0" w:type="dxa"/>
            <w:left w:w="0" w:type="dxa"/>
            <w:bottom w:w="0" w:type="dxa"/>
            <w:right w:w="0" w:type="dxa"/>
          </w:tblCellMar>
        </w:tblPrEx>
        <w:trPr>
          <w:trHeight w:val="302" w:hRule="exact"/>
        </w:trPr>
        <w:tc>
          <w:tcPr>
            <w:tcW w:w="1726" w:type="dxa"/>
            <w:tcBorders>
              <w:top w:val="single" w:color="000000" w:sz="4" w:space="0"/>
              <w:left w:val="single" w:color="000000" w:sz="4" w:space="0"/>
              <w:bottom w:val="single" w:color="000000" w:sz="4" w:space="0"/>
              <w:right w:val="single" w:color="000000" w:sz="4" w:space="0"/>
            </w:tcBorders>
            <w:vAlign w:val="top"/>
          </w:tcPr>
          <w:p>
            <w:pPr>
              <w:jc w:val="center"/>
            </w:pPr>
            <w:r>
              <w:t>时 间</w:t>
            </w:r>
          </w:p>
        </w:tc>
        <w:tc>
          <w:tcPr>
            <w:tcW w:w="1879" w:type="dxa"/>
            <w:tcBorders>
              <w:top w:val="single" w:color="000000" w:sz="4" w:space="0"/>
              <w:left w:val="single" w:color="000000" w:sz="4" w:space="0"/>
              <w:bottom w:val="single" w:color="000000" w:sz="4" w:space="0"/>
              <w:right w:val="single" w:color="000000" w:sz="4" w:space="0"/>
            </w:tcBorders>
            <w:vAlign w:val="top"/>
          </w:tcPr>
          <w:p>
            <w:pPr>
              <w:jc w:val="center"/>
            </w:pPr>
            <w:r>
              <w:t>活动主题</w:t>
            </w:r>
          </w:p>
        </w:tc>
        <w:tc>
          <w:tcPr>
            <w:tcW w:w="960" w:type="dxa"/>
            <w:tcBorders>
              <w:top w:val="single" w:color="000000" w:sz="4" w:space="0"/>
              <w:left w:val="single" w:color="000000" w:sz="4" w:space="0"/>
              <w:bottom w:val="single" w:color="000000" w:sz="4" w:space="0"/>
              <w:right w:val="single" w:color="000000" w:sz="4" w:space="0"/>
            </w:tcBorders>
            <w:vAlign w:val="top"/>
          </w:tcPr>
          <w:p>
            <w:pPr>
              <w:jc w:val="center"/>
            </w:pPr>
            <w:r>
              <w:t>地 点</w:t>
            </w:r>
          </w:p>
        </w:tc>
        <w:tc>
          <w:tcPr>
            <w:tcW w:w="2665" w:type="dxa"/>
            <w:tcBorders>
              <w:top w:val="single" w:color="000000" w:sz="4" w:space="0"/>
              <w:left w:val="single" w:color="000000" w:sz="4" w:space="0"/>
              <w:bottom w:val="single" w:color="000000" w:sz="4" w:space="0"/>
              <w:right w:val="single" w:color="000000" w:sz="4" w:space="0"/>
            </w:tcBorders>
            <w:vAlign w:val="top"/>
          </w:tcPr>
          <w:p>
            <w:pPr>
              <w:jc w:val="center"/>
            </w:pPr>
            <w:r>
              <w:t>出访/来访代表团</w:t>
            </w:r>
          </w:p>
        </w:tc>
        <w:tc>
          <w:tcPr>
            <w:tcW w:w="1847" w:type="dxa"/>
            <w:tcBorders>
              <w:top w:val="single" w:color="000000" w:sz="4" w:space="0"/>
              <w:left w:val="single" w:color="000000" w:sz="4" w:space="0"/>
              <w:bottom w:val="single" w:color="000000" w:sz="4" w:space="0"/>
              <w:right w:val="single" w:color="000000" w:sz="4" w:space="0"/>
            </w:tcBorders>
            <w:vAlign w:val="top"/>
          </w:tcPr>
          <w:p>
            <w:pPr>
              <w:jc w:val="center"/>
            </w:pPr>
            <w:r>
              <w:t>效 果</w:t>
            </w:r>
          </w:p>
        </w:tc>
      </w:tr>
      <w:tr>
        <w:tblPrEx>
          <w:tblLayout w:type="fixed"/>
          <w:tblCellMar>
            <w:top w:w="0" w:type="dxa"/>
            <w:left w:w="0" w:type="dxa"/>
            <w:bottom w:w="0" w:type="dxa"/>
            <w:right w:w="0" w:type="dxa"/>
          </w:tblCellMar>
        </w:tblPrEx>
        <w:trPr>
          <w:trHeight w:val="562" w:hRule="exact"/>
        </w:trPr>
        <w:tc>
          <w:tcPr>
            <w:tcW w:w="1726"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1957 年 7 月 28 日</w:t>
            </w:r>
          </w:p>
          <w:p>
            <w:pPr>
              <w:jc w:val="left"/>
              <w:rPr>
                <w:sz w:val="18"/>
                <w:szCs w:val="18"/>
              </w:rPr>
            </w:pPr>
            <w:r>
              <w:rPr>
                <w:sz w:val="18"/>
                <w:szCs w:val="18"/>
              </w:rPr>
              <w:t>—8 月 11 日</w:t>
            </w:r>
          </w:p>
        </w:tc>
        <w:tc>
          <w:tcPr>
            <w:tcW w:w="1879" w:type="dxa"/>
            <w:tcBorders>
              <w:top w:val="single" w:color="000000" w:sz="4" w:space="0"/>
              <w:left w:val="single" w:color="000000" w:sz="4" w:space="0"/>
              <w:bottom w:val="single" w:color="000000" w:sz="4" w:space="0"/>
              <w:right w:val="single" w:color="000000" w:sz="4" w:space="0"/>
            </w:tcBorders>
            <w:vAlign w:val="top"/>
          </w:tcPr>
          <w:p>
            <w:pPr>
              <w:jc w:val="left"/>
              <w:rPr>
                <w:rFonts w:hint="eastAsia"/>
                <w:sz w:val="18"/>
                <w:szCs w:val="18"/>
              </w:rPr>
            </w:pPr>
            <w:r>
              <w:rPr>
                <w:sz w:val="18"/>
                <w:szCs w:val="18"/>
              </w:rPr>
              <w:t>第六届世界青年与</w:t>
            </w:r>
          </w:p>
          <w:p>
            <w:pPr>
              <w:jc w:val="left"/>
              <w:rPr>
                <w:sz w:val="18"/>
                <w:szCs w:val="18"/>
              </w:rPr>
            </w:pPr>
            <w:r>
              <w:rPr>
                <w:sz w:val="18"/>
                <w:szCs w:val="18"/>
              </w:rPr>
              <w:t>学生和平友谊联欢节</w:t>
            </w:r>
          </w:p>
        </w:tc>
        <w:tc>
          <w:tcPr>
            <w:tcW w:w="960"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莫斯科</w:t>
            </w:r>
          </w:p>
        </w:tc>
        <w:tc>
          <w:tcPr>
            <w:tcW w:w="2665"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团中央第一书记胡耀邦率由</w:t>
            </w:r>
          </w:p>
          <w:p>
            <w:pPr>
              <w:jc w:val="left"/>
              <w:rPr>
                <w:sz w:val="18"/>
                <w:szCs w:val="18"/>
              </w:rPr>
            </w:pPr>
            <w:r>
              <w:rPr>
                <w:sz w:val="18"/>
                <w:szCs w:val="18"/>
              </w:rPr>
              <w:t>1200 名青年组成的代表团</w:t>
            </w:r>
          </w:p>
        </w:tc>
        <w:tc>
          <w:tcPr>
            <w:tcW w:w="1847"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与 80 多个国家代表进行了多边联欢</w:t>
            </w:r>
          </w:p>
        </w:tc>
      </w:tr>
      <w:tr>
        <w:tblPrEx>
          <w:tblLayout w:type="fixed"/>
          <w:tblCellMar>
            <w:top w:w="0" w:type="dxa"/>
            <w:left w:w="0" w:type="dxa"/>
            <w:bottom w:w="0" w:type="dxa"/>
            <w:right w:w="0" w:type="dxa"/>
          </w:tblCellMar>
        </w:tblPrEx>
        <w:trPr>
          <w:trHeight w:val="572" w:hRule="exact"/>
        </w:trPr>
        <w:tc>
          <w:tcPr>
            <w:tcW w:w="1726"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1960 年 11 月 23 日</w:t>
            </w:r>
          </w:p>
          <w:p>
            <w:pPr>
              <w:jc w:val="left"/>
              <w:rPr>
                <w:sz w:val="18"/>
                <w:szCs w:val="18"/>
              </w:rPr>
            </w:pPr>
            <w:r>
              <w:rPr>
                <w:sz w:val="18"/>
                <w:szCs w:val="18"/>
              </w:rPr>
              <w:t>—12 月 22 日</w:t>
            </w:r>
          </w:p>
        </w:tc>
        <w:tc>
          <w:tcPr>
            <w:tcW w:w="1879"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访问</w:t>
            </w:r>
          </w:p>
        </w:tc>
        <w:tc>
          <w:tcPr>
            <w:tcW w:w="960"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北京</w:t>
            </w:r>
          </w:p>
        </w:tc>
        <w:tc>
          <w:tcPr>
            <w:tcW w:w="2665"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古巴等 10 国学生代表团一行</w:t>
            </w:r>
          </w:p>
          <w:p>
            <w:pPr>
              <w:jc w:val="left"/>
              <w:rPr>
                <w:sz w:val="18"/>
                <w:szCs w:val="18"/>
              </w:rPr>
            </w:pPr>
            <w:r>
              <w:rPr>
                <w:sz w:val="18"/>
                <w:szCs w:val="18"/>
              </w:rPr>
              <w:t>16 人</w:t>
            </w:r>
          </w:p>
        </w:tc>
        <w:tc>
          <w:tcPr>
            <w:tcW w:w="1847"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受到毛泽东、周恩来接见</w:t>
            </w:r>
          </w:p>
        </w:tc>
      </w:tr>
      <w:tr>
        <w:tblPrEx>
          <w:tblLayout w:type="fixed"/>
          <w:tblCellMar>
            <w:top w:w="0" w:type="dxa"/>
            <w:left w:w="0" w:type="dxa"/>
            <w:bottom w:w="0" w:type="dxa"/>
            <w:right w:w="0" w:type="dxa"/>
          </w:tblCellMar>
        </w:tblPrEx>
        <w:trPr>
          <w:trHeight w:val="565" w:hRule="exact"/>
        </w:trPr>
        <w:tc>
          <w:tcPr>
            <w:tcW w:w="1726"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1964 年 9 月 16 日</w:t>
            </w:r>
          </w:p>
          <w:p>
            <w:pPr>
              <w:jc w:val="left"/>
              <w:rPr>
                <w:sz w:val="18"/>
                <w:szCs w:val="18"/>
              </w:rPr>
            </w:pPr>
            <w:r>
              <w:rPr>
                <w:sz w:val="18"/>
                <w:szCs w:val="18"/>
              </w:rPr>
              <w:t>—23 日</w:t>
            </w:r>
          </w:p>
        </w:tc>
        <w:tc>
          <w:tcPr>
            <w:tcW w:w="1879"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“莫斯科青年论坛”</w:t>
            </w:r>
          </w:p>
        </w:tc>
        <w:tc>
          <w:tcPr>
            <w:tcW w:w="960"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莫斯科</w:t>
            </w:r>
          </w:p>
        </w:tc>
        <w:tc>
          <w:tcPr>
            <w:tcW w:w="2665"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团中央书记处书记王照华率</w:t>
            </w:r>
          </w:p>
          <w:p>
            <w:pPr>
              <w:jc w:val="left"/>
              <w:rPr>
                <w:sz w:val="18"/>
                <w:szCs w:val="18"/>
              </w:rPr>
            </w:pPr>
            <w:r>
              <w:rPr>
                <w:sz w:val="18"/>
                <w:szCs w:val="18"/>
              </w:rPr>
              <w:t>中国青年代表团一行 30 人</w:t>
            </w:r>
          </w:p>
        </w:tc>
        <w:tc>
          <w:tcPr>
            <w:tcW w:w="1847"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促进了与苏联青年的交流</w:t>
            </w:r>
          </w:p>
        </w:tc>
      </w:tr>
      <w:tr>
        <w:tblPrEx>
          <w:tblLayout w:type="fixed"/>
          <w:tblCellMar>
            <w:top w:w="0" w:type="dxa"/>
            <w:left w:w="0" w:type="dxa"/>
            <w:bottom w:w="0" w:type="dxa"/>
            <w:right w:w="0" w:type="dxa"/>
          </w:tblCellMar>
        </w:tblPrEx>
        <w:trPr>
          <w:trHeight w:val="559" w:hRule="exact"/>
        </w:trPr>
        <w:tc>
          <w:tcPr>
            <w:tcW w:w="1726"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1967 年 8 月 22 日</w:t>
            </w:r>
          </w:p>
          <w:p>
            <w:pPr>
              <w:jc w:val="left"/>
              <w:rPr>
                <w:sz w:val="18"/>
                <w:szCs w:val="18"/>
              </w:rPr>
            </w:pPr>
            <w:r>
              <w:rPr>
                <w:sz w:val="18"/>
                <w:szCs w:val="18"/>
              </w:rPr>
              <w:t>—10 月 5 日</w:t>
            </w:r>
          </w:p>
        </w:tc>
        <w:tc>
          <w:tcPr>
            <w:tcW w:w="1879"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来访</w:t>
            </w:r>
          </w:p>
        </w:tc>
        <w:tc>
          <w:tcPr>
            <w:tcW w:w="960"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北京</w:t>
            </w:r>
          </w:p>
        </w:tc>
        <w:tc>
          <w:tcPr>
            <w:tcW w:w="2665"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刚果（布）全国革命运动青年</w:t>
            </w:r>
          </w:p>
          <w:p>
            <w:pPr>
              <w:jc w:val="left"/>
              <w:rPr>
                <w:sz w:val="18"/>
                <w:szCs w:val="18"/>
              </w:rPr>
            </w:pPr>
            <w:r>
              <w:rPr>
                <w:sz w:val="18"/>
                <w:szCs w:val="18"/>
              </w:rPr>
              <w:t>组织访华</w:t>
            </w:r>
          </w:p>
        </w:tc>
        <w:tc>
          <w:tcPr>
            <w:tcW w:w="1847" w:type="dxa"/>
            <w:tcBorders>
              <w:top w:val="single" w:color="000000" w:sz="4" w:space="0"/>
              <w:left w:val="single" w:color="000000" w:sz="4" w:space="0"/>
              <w:bottom w:val="single" w:color="000000" w:sz="4" w:space="0"/>
              <w:right w:val="single" w:color="000000" w:sz="4" w:space="0"/>
            </w:tcBorders>
            <w:vAlign w:val="top"/>
          </w:tcPr>
          <w:p>
            <w:pPr>
              <w:jc w:val="left"/>
              <w:rPr>
                <w:sz w:val="18"/>
                <w:szCs w:val="18"/>
              </w:rPr>
            </w:pPr>
            <w:r>
              <w:rPr>
                <w:sz w:val="18"/>
                <w:szCs w:val="18"/>
              </w:rPr>
              <w:t>毛泽东接见</w:t>
            </w:r>
          </w:p>
        </w:tc>
      </w:tr>
    </w:tbl>
    <w:p>
      <w:pPr>
        <w:rPr>
          <w:rFonts w:hint="eastAsia"/>
        </w:rPr>
      </w:pPr>
      <w:r>
        <w:rPr>
          <w:rFonts w:hint="eastAsia"/>
        </w:rPr>
        <w:t xml:space="preserve">    </w:t>
      </w:r>
      <w:r>
        <w:t xml:space="preserve">C．西部地区近代化取得成就 </w:t>
      </w:r>
      <w:r>
        <w:tab/>
      </w:r>
      <w:r>
        <w:rPr>
          <w:rFonts w:hint="eastAsia"/>
        </w:rPr>
        <w:t xml:space="preserve">            </w:t>
      </w:r>
      <w:r>
        <w:t>D．政府加大中西部发展投入</w:t>
      </w:r>
    </w:p>
    <w:p>
      <w:r>
        <w:t>31．</w:t>
      </w:r>
      <w:r>
        <w:rPr>
          <w:rFonts w:hint="eastAsia"/>
          <w:lang w:val="en-US" w:eastAsia="zh-CN"/>
        </w:rPr>
        <w:t>下</w:t>
      </w:r>
      <w:r>
        <w:t xml:space="preserve">表为 1956 年—1967 年共青团组织参与重要国际活动一览表，该表反映了 </w:t>
      </w:r>
    </w:p>
    <w:p>
      <w:r>
        <w:rPr>
          <w:rFonts w:hint="eastAsia"/>
        </w:rPr>
        <w:t xml:space="preserve">    </w:t>
      </w:r>
      <w:r>
        <w:t>A．</w:t>
      </w:r>
      <w:r>
        <w:rPr>
          <w:rFonts w:hint="eastAsia"/>
        </w:rPr>
        <w:t>“</w:t>
      </w:r>
      <w:r>
        <w:t>一边倒</w:t>
      </w:r>
      <w:r>
        <w:rPr>
          <w:rFonts w:hint="eastAsia"/>
        </w:rPr>
        <w:t>”</w:t>
      </w:r>
      <w:r>
        <w:t xml:space="preserve">政策阻塞中西交往           B．国际活动深受外交形势影响 </w:t>
      </w:r>
    </w:p>
    <w:p>
      <w:r>
        <w:rPr>
          <w:rFonts w:hint="eastAsia"/>
        </w:rPr>
        <w:t xml:space="preserve">    </w:t>
      </w:r>
      <w:r>
        <w:t>C．</w:t>
      </w:r>
      <w:r>
        <w:rPr>
          <w:rFonts w:hint="eastAsia"/>
        </w:rPr>
        <w:t>“</w:t>
      </w:r>
      <w:r>
        <w:t>文革</w:t>
      </w:r>
      <w:r>
        <w:rPr>
          <w:rFonts w:hint="eastAsia"/>
        </w:rPr>
        <w:t>”</w:t>
      </w:r>
      <w:r>
        <w:t>严重影响国家外交活动          D．</w:t>
      </w:r>
      <w:r>
        <w:rPr>
          <w:rFonts w:hint="eastAsia"/>
        </w:rPr>
        <w:t>“</w:t>
      </w:r>
      <w:r>
        <w:t>求同存异</w:t>
      </w:r>
      <w:r>
        <w:rPr>
          <w:rFonts w:hint="eastAsia"/>
        </w:rPr>
        <w:t>”</w:t>
      </w:r>
      <w:r>
        <w:t xml:space="preserve">得到人们一致认可 </w:t>
      </w:r>
    </w:p>
    <w:p>
      <w:pPr>
        <w:ind w:left="420" w:hanging="440" w:hangingChars="200"/>
      </w:pPr>
      <w:r>
        <w:t>32．后世的罗马法主要是指罗马法在它对商品生产的各种法律关系，如所有权、债权等，它成为大陆法系的主要渊 源。马克思说：</w:t>
      </w:r>
      <w:r>
        <w:rPr>
          <w:rFonts w:hint="eastAsia"/>
        </w:rPr>
        <w:t>“</w:t>
      </w:r>
      <w:r>
        <w:t>即使在英国，为了私法（特别是其中关于动产的那一部分）的进一步发展，也不得不参照罗马法的 诸原则。</w:t>
      </w:r>
      <w:r>
        <w:rPr>
          <w:rFonts w:hint="eastAsia"/>
        </w:rPr>
        <w:t>”</w:t>
      </w:r>
      <w:r>
        <w:t xml:space="preserve">这说明罗马法 </w:t>
      </w:r>
    </w:p>
    <w:p>
      <w:pPr>
        <w:rPr>
          <w:rFonts w:hint="eastAsia"/>
        </w:rPr>
      </w:pPr>
      <w:r>
        <w:rPr>
          <w:rFonts w:hint="eastAsia"/>
        </w:rPr>
        <w:t xml:space="preserve">    </w:t>
      </w:r>
      <w:r>
        <w:t xml:space="preserve">A．保障公民私权利        </w:t>
      </w:r>
      <w:r>
        <w:rPr>
          <w:rFonts w:hint="eastAsia"/>
        </w:rPr>
        <w:t xml:space="preserve">                      </w:t>
      </w:r>
      <w:r>
        <w:t xml:space="preserve">B．使全民从中受惠        </w:t>
      </w:r>
    </w:p>
    <w:p>
      <w:r>
        <w:rPr>
          <w:rFonts w:hint="eastAsia"/>
        </w:rPr>
        <w:t xml:space="preserve">    </w:t>
      </w:r>
      <w:r>
        <w:t xml:space="preserve">C．内容庞杂且缜密        </w:t>
      </w:r>
      <w:r>
        <w:rPr>
          <w:rFonts w:hint="eastAsia"/>
        </w:rPr>
        <w:t xml:space="preserve">                      </w:t>
      </w:r>
      <w:r>
        <w:t xml:space="preserve">D．体现了人文精神 </w:t>
      </w:r>
    </w:p>
    <w:p>
      <w:pPr>
        <w:ind w:left="420" w:hanging="440" w:hangingChars="200"/>
      </w:pPr>
      <w:r>
        <w:t>33．美国妇女史家和女性主义者琼·凯莉说：</w:t>
      </w:r>
      <w:r>
        <w:rPr>
          <w:rFonts w:hint="eastAsia"/>
        </w:rPr>
        <w:t>“</w:t>
      </w:r>
      <w:r>
        <w:t>意大利文艺复兴时期的所有进步——她的原始资本主义经济、国家人文主义文化一起把妇女塑造成一种美丽的摆设：端庄、贞洁、对丈夫和君主双重依赖。</w:t>
      </w:r>
      <w:r>
        <w:rPr>
          <w:rFonts w:hint="eastAsia"/>
        </w:rPr>
        <w:t>”</w:t>
      </w:r>
      <w:r>
        <w:t xml:space="preserve">作者强调文艺复兴 </w:t>
      </w:r>
    </w:p>
    <w:p>
      <w:r>
        <w:rPr>
          <w:rFonts w:hint="eastAsia"/>
        </w:rPr>
        <w:t xml:space="preserve">    </w:t>
      </w:r>
      <w:r>
        <w:t xml:space="preserve">A．并未改变妇女的从属地位 </w:t>
      </w:r>
      <w:r>
        <w:tab/>
      </w:r>
      <w:r>
        <w:rPr>
          <w:rFonts w:hint="eastAsia"/>
        </w:rPr>
        <w:t xml:space="preserve">                   </w:t>
      </w:r>
      <w:r>
        <w:t xml:space="preserve">B．强化了妇女的独立精神 </w:t>
      </w:r>
    </w:p>
    <w:p>
      <w:r>
        <w:rPr>
          <w:rFonts w:hint="eastAsia"/>
        </w:rPr>
        <w:t xml:space="preserve">    </w:t>
      </w:r>
      <w:r>
        <w:t xml:space="preserve">C．对妇女内心世界进行关怀    </w:t>
      </w:r>
      <w:r>
        <w:tab/>
      </w:r>
      <w:r>
        <w:rPr>
          <w:rFonts w:hint="eastAsia"/>
        </w:rPr>
        <w:t xml:space="preserve">               </w:t>
      </w:r>
      <w:r>
        <w:t xml:space="preserve">D．凸显了妇女的理想信念 </w:t>
      </w:r>
    </w:p>
    <w:p>
      <w:pPr>
        <w:ind w:left="420" w:hanging="440" w:hangingChars="200"/>
        <w:jc w:val="left"/>
      </w:pPr>
      <w:r>
        <w:t>34．资中筠在《美国十讲》中指出：</w:t>
      </w:r>
      <w:r>
        <w:rPr>
          <w:rFonts w:hint="eastAsia"/>
        </w:rPr>
        <w:t>“</w:t>
      </w:r>
      <w:r>
        <w:t>新政在美国历史上既无先例可循，也没有系统的经济理论作为基础。它的一个 显著特点是，任何一批政策法令的颁布实施，都不是事前计划好的，都是应急性的、试验性的。</w:t>
      </w:r>
      <w:r>
        <w:rPr>
          <w:rFonts w:hint="eastAsia"/>
        </w:rPr>
        <w:t>”</w:t>
      </w:r>
      <w:r>
        <w:t xml:space="preserve">作者意在强调罗斯福新政 </w:t>
      </w:r>
    </w:p>
    <w:p>
      <w:pPr>
        <w:jc w:val="left"/>
        <w:rPr>
          <w:rFonts w:hint="eastAsia"/>
        </w:rPr>
      </w:pPr>
      <w:r>
        <w:rPr>
          <w:rFonts w:hint="eastAsia"/>
        </w:rPr>
        <w:t xml:space="preserve">    </w:t>
      </w:r>
      <w:r>
        <w:t xml:space="preserve">A．取得成功的偶然性 </w:t>
      </w:r>
      <w:r>
        <w:tab/>
      </w:r>
      <w:r>
        <w:rPr>
          <w:rFonts w:hint="eastAsia"/>
        </w:rPr>
        <w:t xml:space="preserve">                       </w:t>
      </w:r>
      <w:r>
        <w:t xml:space="preserve">B．整顿措施的系统性 </w:t>
      </w:r>
      <w:r>
        <w:tab/>
      </w:r>
    </w:p>
    <w:p>
      <w:pPr>
        <w:jc w:val="left"/>
      </w:pPr>
      <w:r>
        <w:rPr>
          <w:rFonts w:hint="eastAsia"/>
        </w:rPr>
        <w:t xml:space="preserve">    </w:t>
      </w:r>
      <w:r>
        <w:t xml:space="preserve">C．脱离理论的盲目性 </w:t>
      </w:r>
      <w:r>
        <w:tab/>
      </w:r>
      <w:r>
        <w:rPr>
          <w:rFonts w:hint="eastAsia"/>
        </w:rPr>
        <w:t xml:space="preserve">                       </w:t>
      </w:r>
      <w:r>
        <w:t xml:space="preserve">D．基于实际的灵活性 </w:t>
      </w:r>
    </w:p>
    <w:p>
      <w:pPr>
        <w:ind w:left="420" w:hanging="440" w:hangingChars="200"/>
        <w:jc w:val="left"/>
      </w:pPr>
      <w:r>
        <w:t xml:space="preserve">35．法国缺煤，尤其是缺乏炼钢用的焦煤，过去一直是从产煤丰富的鲁尔地区和靠近法德边界的萨尔地区进口。西德的铁矿石藏量不大，鲁尔地区所用铁矿石的重要来源之一，一直是法国的洛林地区。这反映了 </w:t>
      </w:r>
    </w:p>
    <w:p>
      <w:pPr>
        <w:jc w:val="left"/>
        <w:rPr>
          <w:rFonts w:hint="eastAsia"/>
        </w:rPr>
      </w:pPr>
      <w:r>
        <w:rPr>
          <w:rFonts w:hint="eastAsia"/>
        </w:rPr>
        <w:t xml:space="preserve">    </w:t>
      </w:r>
      <w:r>
        <w:t xml:space="preserve">A．法德发生战争的必然性  </w:t>
      </w:r>
      <w:r>
        <w:rPr>
          <w:rFonts w:hint="eastAsia"/>
        </w:rPr>
        <w:t xml:space="preserve">                     </w:t>
      </w:r>
      <w:r>
        <w:t xml:space="preserve">B．法德和解的现实需求 </w:t>
      </w:r>
    </w:p>
    <w:p>
      <w:pPr>
        <w:jc w:val="left"/>
        <w:rPr>
          <w:rFonts w:hint="eastAsia"/>
        </w:rPr>
      </w:pPr>
      <w:r>
        <w:rPr>
          <w:rFonts w:hint="eastAsia"/>
        </w:rPr>
        <w:t xml:space="preserve">    </w:t>
      </w:r>
      <w:r>
        <w:t xml:space="preserve">C．一战爆发的潜在性危机  </w:t>
      </w:r>
      <w:r>
        <w:rPr>
          <w:rFonts w:hint="eastAsia"/>
        </w:rPr>
        <w:t xml:space="preserve">                     </w:t>
      </w:r>
      <w:r>
        <w:t>D．美国干预西欧的契机</w:t>
      </w:r>
    </w:p>
    <w:p>
      <w:r>
        <w:t xml:space="preserve">41．阅读材料，回答问题。（25 分） </w:t>
      </w:r>
    </w:p>
    <w:p>
      <w:pPr>
        <w:spacing w:line="280" w:lineRule="exact"/>
        <w:rPr>
          <w:rFonts w:ascii="楷体_GB2312" w:eastAsia="楷体_GB2312"/>
        </w:rPr>
      </w:pPr>
      <w:r>
        <w:t xml:space="preserve">材料一 </w:t>
      </w:r>
      <w:r>
        <w:rPr>
          <w:rFonts w:hint="eastAsia" w:ascii="楷体_GB2312" w:eastAsia="楷体_GB2312"/>
        </w:rPr>
        <w:t xml:space="preserve">乡约是宋代地主阶级士大夫在社会变迁面前提出的挽救社会危机的基本建制，其途径就是通过士大夫 自觉地义务地在乡村建立起开展思想教化的组织或机构，向全体民众宣传传统政治统治的合理性。陕西蓝田的吕 大临、吕大防兄弟于神宗熙宁九年(1076)首先创立了吕氏乡约。该乡约规定：“在地方上推举年高德劭者一人为都 约正，另外推举两位有学行者为约副。每月另选一人为直月。”年高有德、堪身体力行之人是可能被推举为乡约正 副的基本条件，即声望和学识是乡约凝聚力之形成的基本要求，其主要任务是扬善惩恶，对乡里社会实行教化， 在乡里社会提倡互敬互爱、患难与共的淳朴社会风气。这本是过去历朝乡里制度所一贯坚持的宗旨，汉代至唐代 的三老教化属于官方控制，但到了宋代，这一任务却日渐转由吕氏乡约这样的民间组织加以执行。                     </w:t>
      </w:r>
      <w:r>
        <w:t xml:space="preserve">——摘编自王日根《论明清乡约属性与职能的变迁》 </w:t>
      </w:r>
    </w:p>
    <w:p>
      <w:pPr>
        <w:spacing w:line="280" w:lineRule="exact"/>
        <w:rPr>
          <w:rFonts w:hint="eastAsia" w:ascii="楷体_GB2312" w:eastAsia="楷体_GB2312"/>
        </w:rPr>
      </w:pPr>
      <w:r>
        <w:t xml:space="preserve">材料二 </w:t>
      </w:r>
      <w:r>
        <w:rPr>
          <w:rFonts w:hint="eastAsia" w:ascii="楷体_GB2312" w:eastAsia="楷体_GB2312"/>
        </w:rPr>
        <w:t xml:space="preserve">民国初期，山西乡村政权组织的建置十分混乱，经济发展能力也日渐枯竭，因此阎锡山执政之初， 在山西乡村进行新“村制”探索。他认为，“大凡世界各国，其行政网愈密者，其政治愈良好、愈进步”。“意欲由 行政网不漏一村入手，一村不能漏然后再做到不漏一家一人，网能密到此处，方有政治可言”。第一个阶段自 1917 年 9 月至 1922 年 3 月是“官治提倡村制之时代”，山西省公署颁布了一系列关于编村的章程、条例等规章制度， 并成立专门的机构自上而下推行新“村制”；第二阶段是 1922年3 月至 1928 年的“村民自办村政之时代”，山西 省公署设立了专门的考核机构——村政处，以行政力量促进新“村制”在各地的具体落实。由省起至乡村的邻， 共建立起九级行政管理组织，即省署—村政处—禁烟股、考核股、总务股—区—县—段—编村—闾—邻—居民(另 加村范委员)，阎锡山终于取得了将国家行政管理网络直接延伸到乡村社会的初步成功。 </w:t>
      </w:r>
    </w:p>
    <w:p>
      <w:pPr>
        <w:spacing w:line="280" w:lineRule="exact"/>
        <w:rPr>
          <w:rFonts w:ascii="楷体_GB2312" w:eastAsia="楷体_GB2312"/>
        </w:rPr>
      </w:pPr>
      <w:r>
        <w:rPr>
          <w:rFonts w:hint="eastAsia" w:ascii="楷体_GB2312" w:eastAsia="楷体_GB2312"/>
        </w:rPr>
        <w:t xml:space="preserve">     </w:t>
      </w:r>
      <w:r>
        <w:t xml:space="preserve">——摘编自马义平《近代山西社会秩序再构与权威重塑—以民国初期山西新“村制”为例》 </w:t>
      </w:r>
    </w:p>
    <w:p>
      <w:pPr>
        <w:spacing w:line="280" w:lineRule="exact"/>
      </w:pPr>
      <w:r>
        <w:t xml:space="preserve">材料三 </w:t>
      </w:r>
      <w:r>
        <w:rPr>
          <w:rFonts w:hint="eastAsia"/>
        </w:rPr>
        <w:t xml:space="preserve">  </w:t>
      </w:r>
      <w:r>
        <w:rPr>
          <w:rFonts w:hint="eastAsia" w:ascii="楷体_GB2312" w:eastAsia="楷体_GB2312"/>
        </w:rPr>
        <w:t xml:space="preserve">在2014 年 9 月召开的全国培育和践行社会主义核心价值观工作经验交流会上，中央政治局委员、中宣部部长刘奇葆指出，乡贤文化根植乡土、贴近性强，蕴含着见贤思齐、崇德向善的力量。    </w:t>
      </w:r>
      <w:r>
        <w:t xml:space="preserve">                        ——摘编自《人民网》 </w:t>
      </w:r>
    </w:p>
    <w:p>
      <w:pPr>
        <w:rPr>
          <w:rFonts w:hint="eastAsia" w:ascii="黑体" w:eastAsia="黑体"/>
          <w:b/>
        </w:rPr>
      </w:pPr>
      <w:r>
        <w:rPr>
          <w:rFonts w:hint="eastAsia" w:ascii="黑体" w:eastAsia="黑体"/>
        </w:rPr>
        <w:t xml:space="preserve">  </w:t>
      </w:r>
      <w:r>
        <w:rPr>
          <w:rFonts w:hint="eastAsia" w:ascii="黑体" w:eastAsia="黑体"/>
          <w:b/>
        </w:rPr>
        <w:t xml:space="preserve"> （1）根据材料一并结合所学知识，分析宋代乡约管理制度的特点及其形成原因。（10 分） </w:t>
      </w:r>
    </w:p>
    <w:p>
      <w:pPr>
        <w:rPr>
          <w:rFonts w:hint="eastAsia" w:ascii="黑体" w:eastAsia="黑体"/>
          <w:b/>
        </w:rPr>
      </w:pPr>
      <w:r>
        <w:rPr>
          <w:rFonts w:hint="eastAsia" w:ascii="黑体" w:eastAsia="黑体"/>
          <w:b/>
        </w:rPr>
        <w:t xml:space="preserve">   （2）根据材料二并结合所学知识，指出近代山西新“村制”与宋代乡约管理制度的不同和影响。（10 分） </w:t>
      </w:r>
    </w:p>
    <w:p>
      <w:pPr>
        <w:rPr>
          <w:b/>
        </w:rPr>
      </w:pPr>
      <w:r>
        <w:rPr>
          <w:rFonts w:hint="eastAsia" w:ascii="黑体" w:eastAsia="黑体"/>
          <w:b/>
        </w:rPr>
        <w:t xml:space="preserve">   （3）根据材料一、二、三并结合所学知识，概括培育当代新乡贤的条件。（5 分）</w:t>
      </w:r>
      <w:r>
        <w:rPr>
          <w:b/>
        </w:rPr>
        <w:t xml:space="preserve"> </w:t>
      </w:r>
    </w:p>
    <w:p>
      <w:pPr>
        <w:rPr>
          <w:rFonts w:hint="eastAsia"/>
        </w:rPr>
      </w:pPr>
    </w:p>
    <w:p>
      <w:pPr>
        <w:rPr>
          <w:rFonts w:hint="eastAsia"/>
        </w:rPr>
      </w:pPr>
    </w:p>
    <w:p>
      <w:r>
        <w:t xml:space="preserve">42．阅读材料，完成下列要求（12 分） </w:t>
      </w:r>
    </w:p>
    <w:p>
      <w:pPr>
        <w:spacing w:line="280" w:lineRule="exact"/>
      </w:pPr>
      <w:r>
        <w:t xml:space="preserve">材料 </w:t>
      </w:r>
      <w:r>
        <w:rPr>
          <w:rFonts w:hint="eastAsia" w:ascii="楷体_GB2312" w:eastAsia="楷体_GB2312"/>
        </w:rPr>
        <w:t xml:space="preserve">尔国距中华过远，遣使远涉，良非易事；且来使于中国礼仪不能谙习，重劳唇舌，非所乐闻。天朝不宝远物， 凡尔国奇巧之器，亦不视为珍异。尔国王其辑和尔人民，慎固尔疆土，无间远迩，朕实嘉之。嗣后毋庸遣使远来， 徒烦跋涉。但能倾心效顺，不必岁时来朝始称向化也。俾尔永遵，故兹敕谕！ </w:t>
      </w:r>
    </w:p>
    <w:p>
      <w:pPr>
        <w:spacing w:line="280" w:lineRule="exact"/>
      </w:pPr>
      <w:r>
        <w:rPr>
          <w:rFonts w:hint="eastAsia"/>
        </w:rPr>
        <w:t xml:space="preserve">                                      </w:t>
      </w:r>
      <w:r>
        <w:t xml:space="preserve">——《清仁宗实录》卷 320 嘉庆二十一年七月乙卯 </w:t>
      </w:r>
    </w:p>
    <w:p>
      <w:pPr>
        <w:rPr>
          <w:rFonts w:ascii="黑体" w:eastAsia="黑体"/>
          <w:b/>
        </w:rPr>
      </w:pPr>
      <w:r>
        <w:rPr>
          <w:rFonts w:hint="eastAsia"/>
        </w:rPr>
        <w:t xml:space="preserve">  </w:t>
      </w:r>
      <w:r>
        <w:rPr>
          <w:rFonts w:hint="eastAsia" w:ascii="黑体" w:eastAsia="黑体"/>
          <w:b/>
        </w:rPr>
        <w:t xml:space="preserve"> 结合所学知识，从上述嘉庆对英国国王的敕谕中提取一个信息，指出它所反映的历史现象，并评价该历史现象。 </w:t>
      </w:r>
      <w:r>
        <w:t>（要求：写出所提取的信息及历史现象，对历史现象的评价准确全面。）</w:t>
      </w:r>
    </w:p>
    <w:p>
      <w:pPr>
        <w:rPr>
          <w:rFonts w:hint="eastAsia"/>
        </w:rPr>
      </w:pPr>
    </w:p>
    <w:p>
      <w:pPr>
        <w:rPr>
          <w:b/>
        </w:rPr>
      </w:pPr>
      <w:r>
        <w:rPr>
          <w:b/>
        </w:rPr>
        <w:t xml:space="preserve">45．【历史—选修 1：历史上重大改革回眸】（15 分） </w:t>
      </w:r>
    </w:p>
    <w:p>
      <w:pPr>
        <w:spacing w:line="280" w:lineRule="exact"/>
        <w:rPr>
          <w:rFonts w:hint="eastAsia" w:ascii="楷体_GB2312" w:eastAsia="楷体_GB2312"/>
        </w:rPr>
      </w:pPr>
      <w:r>
        <w:t xml:space="preserve">材料 </w:t>
      </w:r>
      <w:r>
        <w:rPr>
          <w:rFonts w:hint="eastAsia"/>
        </w:rPr>
        <w:t xml:space="preserve"> </w:t>
      </w:r>
      <w:r>
        <w:rPr>
          <w:rFonts w:hint="eastAsia" w:ascii="楷体_GB2312" w:eastAsia="楷体_GB2312"/>
        </w:rPr>
        <w:t xml:space="preserve">庚子之役后，清政府宣布推行新政，由张之洞主稿，张謇等绅商参与拟稿润色，刘坤一领衔上奏的《江楚会奏 变法三折》成为清末改革的纲领性文件，其中明确指出：“无农以为之本，则工无所施，商无所运，今日欲图本富， 首在修农政。”1901 年，张謇创办了通海垦牧公司。经十年努力，各堤之内“栖人有屋，待客有堂，储物有仓，种蔬 有圃：佃有庐舍，商有廛市，行有涂梁，若成一小世界矣。”此后，在 20 世纪初的 20 多年中，江苏北部荒芜人烟的 沿海滩涂先后出现了大小几十家农垦公司。1910 年，参加南洋劝业会的各省工商界人士，召开全国农务联合会成立 大会，到会者千余人，大会拟定了章程草案，推举张謇为会长，并决定设立总事务所于南京，另分设南北两事务所 于武昌和保定。1910 年,通海垦牧公司开办了一所初等农业实业学堂，称“乾区乙级农学校”。张謇注重在普通农民 中推广农业科技，以使潜在的生产力能够转变为现实的生产力。为此他一方面倡导“审风土人情，编纂适用之教科书，以教育其子弟”，并曾为多本普及农业知识的书籍作序，如 1904 年作《普通农学浅说序》，1910 年作《农学通释序》                          </w:t>
      </w:r>
      <w:r>
        <w:t>——摘编自冀开运、李丽娟《美国与两伊战争关系解读》</w:t>
      </w:r>
    </w:p>
    <w:p>
      <w:pPr>
        <w:spacing w:before="82" w:after="0" w:line="240" w:lineRule="auto"/>
        <w:ind w:right="-20"/>
        <w:rPr>
          <w:rFonts w:hint="eastAsia" w:asciiTheme="minorEastAsia" w:hAnsiTheme="minorEastAsia" w:eastAsiaTheme="minorEastAsia" w:cstheme="minorEastAsia"/>
          <w:b/>
          <w:bCs/>
          <w:sz w:val="24"/>
          <w:szCs w:val="24"/>
          <w:lang w:eastAsia="zh-CN"/>
        </w:rPr>
      </w:pPr>
      <w:r>
        <w:rPr>
          <w:rFonts w:hint="eastAsia"/>
          <w:sz w:val="21"/>
          <w:szCs w:val="21"/>
        </w:rPr>
        <w:t xml:space="preserve"> </w:t>
      </w:r>
      <w:r>
        <w:rPr>
          <w:rFonts w:hint="eastAsia" w:asciiTheme="minorEastAsia" w:hAnsiTheme="minorEastAsia" w:eastAsiaTheme="minorEastAsia" w:cstheme="minorEastAsia"/>
          <w:b/>
          <w:bCs/>
          <w:w w:val="99"/>
          <w:sz w:val="24"/>
          <w:szCs w:val="24"/>
          <w:lang w:eastAsia="zh-CN"/>
        </w:rPr>
        <w:t>（</w:t>
      </w:r>
      <w:r>
        <w:rPr>
          <w:rFonts w:hint="eastAsia" w:asciiTheme="minorEastAsia" w:hAnsiTheme="minorEastAsia" w:eastAsiaTheme="minorEastAsia" w:cstheme="minorEastAsia"/>
          <w:b/>
          <w:bCs/>
          <w:spacing w:val="2"/>
          <w:w w:val="99"/>
          <w:sz w:val="24"/>
          <w:szCs w:val="24"/>
          <w:lang w:eastAsia="zh-CN"/>
        </w:rPr>
        <w:t>1</w:t>
      </w:r>
      <w:r>
        <w:rPr>
          <w:rFonts w:hint="eastAsia" w:asciiTheme="minorEastAsia" w:hAnsiTheme="minorEastAsia" w:eastAsiaTheme="minorEastAsia" w:cstheme="minorEastAsia"/>
          <w:b/>
          <w:bCs/>
          <w:w w:val="99"/>
          <w:sz w:val="24"/>
          <w:szCs w:val="24"/>
          <w:lang w:eastAsia="zh-CN"/>
        </w:rPr>
        <w:t>）根据材料并结合所学知识，指</w:t>
      </w:r>
      <w:r>
        <w:rPr>
          <w:rFonts w:hint="eastAsia" w:asciiTheme="minorEastAsia" w:hAnsiTheme="minorEastAsia" w:eastAsiaTheme="minorEastAsia" w:cstheme="minorEastAsia"/>
          <w:b/>
          <w:bCs/>
          <w:spacing w:val="3"/>
          <w:w w:val="99"/>
          <w:sz w:val="24"/>
          <w:szCs w:val="24"/>
          <w:lang w:eastAsia="zh-CN"/>
        </w:rPr>
        <w:t>出</w:t>
      </w:r>
      <w:r>
        <w:rPr>
          <w:rFonts w:hint="eastAsia" w:asciiTheme="minorEastAsia" w:hAnsiTheme="minorEastAsia" w:eastAsiaTheme="minorEastAsia" w:cstheme="minorEastAsia"/>
          <w:b/>
          <w:bCs/>
          <w:w w:val="99"/>
          <w:sz w:val="24"/>
          <w:szCs w:val="24"/>
          <w:lang w:eastAsia="zh-CN"/>
        </w:rPr>
        <w:t>张謇推动清末农业改革的背</w:t>
      </w:r>
      <w:r>
        <w:rPr>
          <w:rFonts w:hint="eastAsia" w:asciiTheme="minorEastAsia" w:hAnsiTheme="minorEastAsia" w:eastAsiaTheme="minorEastAsia" w:cstheme="minorEastAsia"/>
          <w:b/>
          <w:bCs/>
          <w:spacing w:val="5"/>
          <w:w w:val="99"/>
          <w:sz w:val="24"/>
          <w:szCs w:val="24"/>
          <w:lang w:eastAsia="zh-CN"/>
        </w:rPr>
        <w:t>景</w:t>
      </w:r>
      <w:r>
        <w:rPr>
          <w:rFonts w:hint="eastAsia" w:asciiTheme="minorEastAsia" w:hAnsiTheme="minorEastAsia" w:eastAsiaTheme="minorEastAsia" w:cstheme="minorEastAsia"/>
          <w:b/>
          <w:bCs/>
          <w:spacing w:val="-106"/>
          <w:w w:val="99"/>
          <w:sz w:val="24"/>
          <w:szCs w:val="24"/>
          <w:lang w:eastAsia="zh-CN"/>
        </w:rPr>
        <w:t>。</w:t>
      </w:r>
      <w:r>
        <w:rPr>
          <w:rFonts w:hint="eastAsia" w:asciiTheme="minorEastAsia" w:hAnsiTheme="minorEastAsia" w:eastAsiaTheme="minorEastAsia" w:cstheme="minorEastAsia"/>
          <w:b/>
          <w:bCs/>
          <w:w w:val="99"/>
          <w:sz w:val="24"/>
          <w:szCs w:val="24"/>
          <w:lang w:eastAsia="zh-CN"/>
        </w:rPr>
        <w:t>（9</w:t>
      </w:r>
      <w:r>
        <w:rPr>
          <w:rFonts w:hint="eastAsia" w:asciiTheme="minorEastAsia" w:hAnsiTheme="minorEastAsia" w:eastAsiaTheme="minorEastAsia" w:cstheme="minorEastAsia"/>
          <w:b/>
          <w:bCs/>
          <w:spacing w:val="1"/>
          <w:sz w:val="24"/>
          <w:szCs w:val="24"/>
          <w:lang w:eastAsia="zh-CN"/>
        </w:rPr>
        <w:t xml:space="preserve"> </w:t>
      </w:r>
      <w:r>
        <w:rPr>
          <w:rFonts w:hint="eastAsia" w:asciiTheme="minorEastAsia" w:hAnsiTheme="minorEastAsia" w:eastAsiaTheme="minorEastAsia" w:cstheme="minorEastAsia"/>
          <w:b/>
          <w:bCs/>
          <w:spacing w:val="3"/>
          <w:w w:val="99"/>
          <w:sz w:val="24"/>
          <w:szCs w:val="24"/>
          <w:lang w:eastAsia="zh-CN"/>
        </w:rPr>
        <w:t>分</w:t>
      </w:r>
      <w:r>
        <w:rPr>
          <w:rFonts w:hint="eastAsia" w:asciiTheme="minorEastAsia" w:hAnsiTheme="minorEastAsia" w:eastAsiaTheme="minorEastAsia" w:cstheme="minorEastAsia"/>
          <w:b/>
          <w:bCs/>
          <w:w w:val="99"/>
          <w:sz w:val="24"/>
          <w:szCs w:val="24"/>
          <w:lang w:eastAsia="zh-CN"/>
        </w:rPr>
        <w:t xml:space="preserve">） </w:t>
      </w:r>
    </w:p>
    <w:p>
      <w:pPr>
        <w:spacing w:before="1" w:after="0" w:line="220" w:lineRule="exact"/>
        <w:rPr>
          <w:rFonts w:hint="eastAsia" w:asciiTheme="minorEastAsia" w:hAnsiTheme="minorEastAsia" w:eastAsiaTheme="minorEastAsia" w:cstheme="minorEastAsia"/>
          <w:b/>
          <w:bCs/>
          <w:sz w:val="24"/>
          <w:szCs w:val="24"/>
          <w:lang w:eastAsia="zh-CN"/>
        </w:rPr>
      </w:pPr>
    </w:p>
    <w:p>
      <w:pPr>
        <w:spacing w:after="0" w:line="240" w:lineRule="auto"/>
        <w:ind w:right="-2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w w:val="99"/>
          <w:sz w:val="24"/>
          <w:szCs w:val="24"/>
          <w:lang w:eastAsia="zh-CN"/>
        </w:rPr>
        <w:t>（</w:t>
      </w:r>
      <w:r>
        <w:rPr>
          <w:rFonts w:hint="eastAsia" w:asciiTheme="minorEastAsia" w:hAnsiTheme="minorEastAsia" w:eastAsiaTheme="minorEastAsia" w:cstheme="minorEastAsia"/>
          <w:b/>
          <w:bCs/>
          <w:spacing w:val="2"/>
          <w:w w:val="99"/>
          <w:sz w:val="24"/>
          <w:szCs w:val="24"/>
          <w:lang w:eastAsia="zh-CN"/>
        </w:rPr>
        <w:t>2</w:t>
      </w:r>
      <w:r>
        <w:rPr>
          <w:rFonts w:hint="eastAsia" w:asciiTheme="minorEastAsia" w:hAnsiTheme="minorEastAsia" w:eastAsiaTheme="minorEastAsia" w:cstheme="minorEastAsia"/>
          <w:b/>
          <w:bCs/>
          <w:w w:val="99"/>
          <w:sz w:val="24"/>
          <w:szCs w:val="24"/>
          <w:lang w:eastAsia="zh-CN"/>
        </w:rPr>
        <w:t>）根据材料并结合所学知识，分</w:t>
      </w:r>
      <w:r>
        <w:rPr>
          <w:rFonts w:hint="eastAsia" w:asciiTheme="minorEastAsia" w:hAnsiTheme="minorEastAsia" w:eastAsiaTheme="minorEastAsia" w:cstheme="minorEastAsia"/>
          <w:b/>
          <w:bCs/>
          <w:spacing w:val="3"/>
          <w:w w:val="99"/>
          <w:sz w:val="24"/>
          <w:szCs w:val="24"/>
          <w:lang w:eastAsia="zh-CN"/>
        </w:rPr>
        <w:t>析</w:t>
      </w:r>
      <w:r>
        <w:rPr>
          <w:rFonts w:hint="eastAsia" w:asciiTheme="minorEastAsia" w:hAnsiTheme="minorEastAsia" w:eastAsiaTheme="minorEastAsia" w:cstheme="minorEastAsia"/>
          <w:b/>
          <w:bCs/>
          <w:w w:val="99"/>
          <w:sz w:val="24"/>
          <w:szCs w:val="24"/>
          <w:lang w:eastAsia="zh-CN"/>
        </w:rPr>
        <w:t>张謇农业改革的影</w:t>
      </w:r>
      <w:r>
        <w:rPr>
          <w:rFonts w:hint="eastAsia" w:asciiTheme="minorEastAsia" w:hAnsiTheme="minorEastAsia" w:eastAsiaTheme="minorEastAsia" w:cstheme="minorEastAsia"/>
          <w:b/>
          <w:bCs/>
          <w:spacing w:val="4"/>
          <w:w w:val="99"/>
          <w:sz w:val="24"/>
          <w:szCs w:val="24"/>
          <w:lang w:eastAsia="zh-CN"/>
        </w:rPr>
        <w:t>响</w:t>
      </w:r>
      <w:r>
        <w:rPr>
          <w:rFonts w:hint="eastAsia" w:asciiTheme="minorEastAsia" w:hAnsiTheme="minorEastAsia" w:eastAsiaTheme="minorEastAsia" w:cstheme="minorEastAsia"/>
          <w:b/>
          <w:bCs/>
          <w:spacing w:val="-106"/>
          <w:w w:val="99"/>
          <w:sz w:val="24"/>
          <w:szCs w:val="24"/>
          <w:lang w:eastAsia="zh-CN"/>
        </w:rPr>
        <w:t>。</w:t>
      </w:r>
      <w:r>
        <w:rPr>
          <w:rFonts w:hint="eastAsia" w:asciiTheme="minorEastAsia" w:hAnsiTheme="minorEastAsia" w:eastAsiaTheme="minorEastAsia" w:cstheme="minorEastAsia"/>
          <w:b/>
          <w:bCs/>
          <w:w w:val="99"/>
          <w:sz w:val="24"/>
          <w:szCs w:val="24"/>
          <w:lang w:eastAsia="zh-CN"/>
        </w:rPr>
        <w:t>（6</w:t>
      </w:r>
      <w:r>
        <w:rPr>
          <w:rFonts w:hint="eastAsia" w:asciiTheme="minorEastAsia" w:hAnsiTheme="minorEastAsia" w:eastAsiaTheme="minorEastAsia" w:cstheme="minorEastAsia"/>
          <w:b/>
          <w:bCs/>
          <w:spacing w:val="1"/>
          <w:sz w:val="24"/>
          <w:szCs w:val="24"/>
          <w:lang w:eastAsia="zh-CN"/>
        </w:rPr>
        <w:t xml:space="preserve"> </w:t>
      </w:r>
      <w:r>
        <w:rPr>
          <w:rFonts w:hint="eastAsia" w:asciiTheme="minorEastAsia" w:hAnsiTheme="minorEastAsia" w:eastAsiaTheme="minorEastAsia" w:cstheme="minorEastAsia"/>
          <w:b/>
          <w:bCs/>
          <w:w w:val="99"/>
          <w:sz w:val="24"/>
          <w:szCs w:val="24"/>
          <w:lang w:eastAsia="zh-CN"/>
        </w:rPr>
        <w:t>分</w:t>
      </w:r>
      <w:r>
        <w:rPr>
          <w:rFonts w:hint="eastAsia" w:asciiTheme="minorEastAsia" w:hAnsiTheme="minorEastAsia" w:eastAsiaTheme="minorEastAsia" w:cstheme="minorEastAsia"/>
          <w:b/>
          <w:bCs/>
          <w:spacing w:val="3"/>
          <w:w w:val="99"/>
          <w:sz w:val="24"/>
          <w:szCs w:val="24"/>
          <w:lang w:eastAsia="zh-CN"/>
        </w:rPr>
        <w:t>）</w:t>
      </w:r>
      <w:r>
        <w:rPr>
          <w:rFonts w:hint="eastAsia" w:asciiTheme="minorEastAsia" w:hAnsiTheme="minorEastAsia" w:eastAsiaTheme="minorEastAsia" w:cstheme="minorEastAsia"/>
          <w:w w:val="99"/>
          <w:sz w:val="24"/>
          <w:szCs w:val="24"/>
          <w:lang w:eastAsia="zh-CN"/>
        </w:rPr>
        <w:t xml:space="preserve"> </w:t>
      </w:r>
    </w:p>
    <w:p>
      <w:pPr>
        <w:spacing w:line="280" w:lineRule="exact"/>
        <w:rPr>
          <w:rFonts w:hint="eastAsia" w:ascii="黑体" w:eastAsia="黑体"/>
          <w:b/>
        </w:rPr>
      </w:pPr>
    </w:p>
    <w:p>
      <w:pPr>
        <w:spacing w:line="280" w:lineRule="exact"/>
        <w:rPr>
          <w:rFonts w:hint="eastAsia"/>
        </w:rPr>
      </w:pPr>
      <w:bookmarkStart w:id="0" w:name="_GoBack"/>
      <w:bookmarkEnd w:id="0"/>
    </w:p>
    <w:p>
      <w:pPr>
        <w:spacing w:line="280" w:lineRule="exact"/>
      </w:pPr>
      <w:r>
        <w:t>46．</w:t>
      </w:r>
      <w:r>
        <w:rPr>
          <w:b/>
        </w:rPr>
        <w:t>【历史—选修 3：20 世纪的战争与和平】（15 分）</w:t>
      </w:r>
      <w:r>
        <w:t xml:space="preserve"> </w:t>
      </w:r>
    </w:p>
    <w:p>
      <w:pPr>
        <w:spacing w:line="280" w:lineRule="exact"/>
        <w:rPr>
          <w:rFonts w:hint="eastAsia" w:ascii="楷体_GB2312" w:eastAsia="楷体_GB2312"/>
        </w:rPr>
      </w:pPr>
      <w:r>
        <w:t xml:space="preserve">材料 </w:t>
      </w:r>
      <w:r>
        <w:rPr>
          <w:rFonts w:hint="eastAsia"/>
        </w:rPr>
        <w:t xml:space="preserve"> </w:t>
      </w:r>
      <w:r>
        <w:rPr>
          <w:rFonts w:hint="eastAsia" w:ascii="楷体_GB2312" w:eastAsia="楷体_GB2312"/>
        </w:rPr>
        <w:t xml:space="preserve">1980 年—1988 年的两伊战争是自“二战”结束以后人类最残酷、最具破坏性的战争。两伊战争之初，美国的 表态是“保持中立”。1982 年 4 月，伊朗大举反攻，收复大部分领土，美国坚定了支持伊拉克的政策。1984 年 4 月到战争结束，两伊战争进入僵持阶段，美国继续执行其“弱势均衡”政策，1985—1986 年，伊朗从美国得到大批导弹及其零部件以及有关伊拉克防御的军事情报。两伊战争结束时，伊拉克军队已扩充至 100 万人，并拥有大批新式武器，成为中东和海湾地区的军事大国，加速了伊拉克社会的整合，产生了一种伊拉克民族国家认同模式， 伊朗则巩固了新生的伊斯兰共和国。两伊战争的爆发使两伊都为了获取经济来源而争相出口石油，使石油价格在 这期间下降了百分之五十。战后美国与阿拉伯国家的军事联系得到加强，且借两伊战争之机获取了在海湾地区建立基地的目的。战争中曾向伊拉克出资 100 多亿美元的科威特，战后开始向伊拉克索要借款，而且在有争议的地区开采石油这成为后来萨达姆入侵科威特的原因之一。世界两个产油大国之间的战争对中东和世界石油经济造成 了严重的破坏，双方竭力摧毁对方的石油设施，导致石油供应紧缺，油价飞涨，演变成了世界第二次石油危机， 触发了西方世界新的经济危机。      </w:t>
      </w:r>
      <w:r>
        <w:t>——摘编自冀开运、李丽娟《美国与两伊战争关系解读》</w:t>
      </w:r>
    </w:p>
    <w:p>
      <w:pPr>
        <w:spacing w:line="280" w:lineRule="exact"/>
        <w:rPr>
          <w:rFonts w:hint="eastAsia" w:ascii="黑体" w:eastAsia="黑体"/>
          <w:b/>
        </w:rPr>
      </w:pPr>
      <w:r>
        <w:rPr>
          <w:rFonts w:hint="eastAsia"/>
          <w:w w:val="99"/>
        </w:rPr>
        <w:t xml:space="preserve"> </w:t>
      </w:r>
      <w:r>
        <w:rPr>
          <w:rFonts w:hint="eastAsia" w:ascii="黑体" w:eastAsia="黑体"/>
          <w:b/>
        </w:rPr>
        <w:t xml:space="preserve">  （1）根据材料并结合所学知识，指出两伊战争爆发的原因及美国政策的变化。（8 分） </w:t>
      </w:r>
    </w:p>
    <w:p>
      <w:pPr>
        <w:spacing w:line="280" w:lineRule="exact"/>
        <w:rPr>
          <w:rFonts w:hint="eastAsia" w:ascii="黑体" w:eastAsia="黑体"/>
          <w:b/>
        </w:rPr>
      </w:pPr>
      <w:r>
        <w:rPr>
          <w:rFonts w:hint="eastAsia" w:ascii="黑体" w:eastAsia="黑体"/>
          <w:b/>
        </w:rPr>
        <w:t xml:space="preserve">   （2）根据材料并结合所学知识，分析两伊战争的影响。（7 分）</w:t>
      </w:r>
    </w:p>
    <w:p>
      <w:pPr>
        <w:spacing w:line="280" w:lineRule="exact"/>
        <w:rPr>
          <w:rFonts w:hint="eastAsia"/>
        </w:rPr>
      </w:pPr>
    </w:p>
    <w:p>
      <w:pPr>
        <w:spacing w:line="280" w:lineRule="exact"/>
        <w:rPr>
          <w:b/>
        </w:rPr>
      </w:pPr>
      <w:r>
        <w:rPr>
          <w:b/>
        </w:rPr>
        <w:t>47．【历史—选修 4：中外历史人物评说】（15 分）</w:t>
      </w:r>
    </w:p>
    <w:p>
      <w:pPr>
        <w:spacing w:line="280" w:lineRule="exact"/>
      </w:pPr>
      <w:r>
        <w:t>材料</w:t>
      </w:r>
      <w:r>
        <w:rPr>
          <w:rFonts w:hint="eastAsia"/>
        </w:rPr>
        <w:t xml:space="preserve">  </w:t>
      </w:r>
      <w:r>
        <w:rPr>
          <w:rFonts w:hint="eastAsia" w:ascii="楷体_GB2312" w:eastAsia="楷体_GB2312"/>
        </w:rPr>
        <w:t>狄仁杰生于唐贞观四年，卒于武则天圣历三年。出身于庶族地主阶级知识分子家庭，祖父曾为贞观中尚书左 丞，父曾为夔州长史。狄仁杰以明经入仕后授汴州判佐，当时工部尚书阎立本黜河南，见到狄仁杰后惊叹他的才 华，称他为“海曲明珠，东南遗宝”，并举荐他为并州法曹。47 岁时开始在中央为官。左威卫大将军权善才、右监 门中郎将范怀义因误斫昭陵柏，罪当除名，高宗气二人对皇室的不敬所以特命杀之，狄仁杰据理力争，迫使高宗 按国家法律将二人除名，流岭南。此后不久，狄仁杰升任为侍御史。因其“岁凡断狱一万二千”而无冤诉者，故 在官员考评时特给予级别很高的评定。狄仁杰一生中所上之表或疏，内容大多都是以为民请命为主的。他曾两次 任抵御少数族入犯的命官。狄仁杰还为国家举荐了大量人才，官至公卿者多达数十人。其中以张柬之、桓彦范、 敬晖、姚崇、李楷固等最为著名，对此，有人说“天下桃李，悉在公门矣。”仁杰曰“荐贤为国，非为私也。”</w:t>
      </w:r>
      <w:r>
        <w:t xml:space="preserve"> </w:t>
      </w:r>
      <w:r>
        <w:rPr>
          <w:rFonts w:hint="eastAsia"/>
        </w:rPr>
        <w:t xml:space="preserve">       </w:t>
      </w:r>
      <w:r>
        <w:t xml:space="preserve">——摘编自王朝华《论狄仁杰》 </w:t>
      </w:r>
    </w:p>
    <w:p>
      <w:pPr>
        <w:spacing w:line="280" w:lineRule="exact"/>
        <w:rPr>
          <w:rFonts w:hint="eastAsia" w:ascii="黑体" w:eastAsia="黑体"/>
          <w:b/>
        </w:rPr>
      </w:pPr>
      <w:r>
        <w:rPr>
          <w:rFonts w:hint="eastAsia"/>
        </w:rPr>
        <w:t xml:space="preserve">   </w:t>
      </w:r>
      <w:r>
        <w:rPr>
          <w:rFonts w:hint="eastAsia" w:ascii="黑体" w:eastAsia="黑体"/>
          <w:b/>
        </w:rPr>
        <w:t xml:space="preserve">（1）根据材料并结合所学知识，指出狄仁杰的优秀品质和才能。（7 分） </w:t>
      </w:r>
    </w:p>
    <w:p>
      <w:pPr>
        <w:spacing w:line="280" w:lineRule="exact"/>
        <w:rPr>
          <w:rFonts w:hint="eastAsia" w:ascii="黑体" w:eastAsia="黑体"/>
          <w:b/>
        </w:rPr>
      </w:pPr>
      <w:r>
        <w:rPr>
          <w:rFonts w:hint="eastAsia" w:ascii="黑体" w:eastAsia="黑体"/>
          <w:b/>
        </w:rPr>
        <w:t xml:space="preserve">   （2）根据材料并结合所学知识，分析狄仁杰成为“一代贤相”的原因。（8 分）</w:t>
      </w:r>
    </w:p>
    <w:p>
      <w:pPr>
        <w:spacing w:line="280" w:lineRule="exact"/>
        <w:rPr>
          <w:rStyle w:val="6"/>
          <w:rFonts w:hint="eastAsia" w:ascii="黑体" w:eastAsia="黑体"/>
          <w:b/>
        </w:rPr>
      </w:pPr>
    </w:p>
    <w:p/>
    <w:p>
      <w:pPr>
        <w:rPr>
          <w:rFonts w:hint="eastAsia"/>
        </w:rPr>
      </w:pPr>
    </w:p>
    <w:p>
      <w:pPr>
        <w:rPr>
          <w:rFonts w:hint="eastAsia"/>
        </w:rPr>
      </w:pPr>
    </w:p>
    <w:p>
      <w:pPr>
        <w:rPr>
          <w:rFonts w:hint="eastAsia"/>
          <w:lang w:eastAsia="zh-CN"/>
        </w:rPr>
      </w:pPr>
    </w:p>
    <w:p>
      <w:pPr>
        <w:spacing w:before="0" w:line="358" w:lineRule="exact"/>
        <w:ind w:left="1640" w:right="1639" w:firstLine="0"/>
        <w:jc w:val="center"/>
        <w:rPr>
          <w:b/>
          <w:sz w:val="28"/>
        </w:rPr>
      </w:pPr>
      <w:r>
        <w:rPr>
          <w:b/>
          <w:sz w:val="28"/>
        </w:rPr>
        <w:t>参考答案</w:t>
      </w:r>
    </w:p>
    <w:p>
      <w:pPr>
        <w:pStyle w:val="2"/>
        <w:spacing w:before="214"/>
        <w:rPr>
          <w:sz w:val="6"/>
        </w:rPr>
      </w:pPr>
      <w:r>
        <w:t xml:space="preserve">一、选择题。（每小题 </w:t>
      </w:r>
      <w:r>
        <w:rPr>
          <w:rFonts w:ascii="Times New Roman" w:eastAsia="Times New Roman"/>
        </w:rPr>
        <w:t xml:space="preserve">4  </w:t>
      </w:r>
      <w:r>
        <w:t>分）</w:t>
      </w:r>
    </w:p>
    <w:tbl>
      <w:tblPr>
        <w:tblStyle w:val="5"/>
        <w:tblW w:w="8521"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655"/>
        <w:gridCol w:w="655"/>
        <w:gridCol w:w="655"/>
        <w:gridCol w:w="656"/>
        <w:gridCol w:w="655"/>
        <w:gridCol w:w="655"/>
        <w:gridCol w:w="655"/>
        <w:gridCol w:w="658"/>
        <w:gridCol w:w="655"/>
        <w:gridCol w:w="655"/>
        <w:gridCol w:w="657"/>
        <w:gridCol w:w="6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5" w:type="dxa"/>
          </w:tcPr>
          <w:p>
            <w:pPr>
              <w:pStyle w:val="7"/>
              <w:spacing w:before="99"/>
              <w:ind w:left="107"/>
              <w:jc w:val="left"/>
              <w:rPr>
                <w:rFonts w:hint="eastAsia" w:ascii="宋体" w:eastAsia="宋体"/>
                <w:sz w:val="21"/>
              </w:rPr>
            </w:pPr>
            <w:r>
              <w:rPr>
                <w:rFonts w:hint="eastAsia" w:ascii="宋体" w:eastAsia="宋体"/>
                <w:sz w:val="21"/>
              </w:rPr>
              <w:t>题号</w:t>
            </w:r>
          </w:p>
        </w:tc>
        <w:tc>
          <w:tcPr>
            <w:tcW w:w="655" w:type="dxa"/>
          </w:tcPr>
          <w:p>
            <w:pPr>
              <w:pStyle w:val="7"/>
              <w:ind w:left="200" w:right="193"/>
              <w:rPr>
                <w:sz w:val="21"/>
              </w:rPr>
            </w:pPr>
            <w:r>
              <w:rPr>
                <w:sz w:val="21"/>
              </w:rPr>
              <w:t>24</w:t>
            </w:r>
          </w:p>
        </w:tc>
        <w:tc>
          <w:tcPr>
            <w:tcW w:w="655" w:type="dxa"/>
          </w:tcPr>
          <w:p>
            <w:pPr>
              <w:pStyle w:val="7"/>
              <w:ind w:right="193"/>
              <w:rPr>
                <w:sz w:val="21"/>
              </w:rPr>
            </w:pPr>
            <w:r>
              <w:rPr>
                <w:sz w:val="21"/>
              </w:rPr>
              <w:t>25</w:t>
            </w:r>
          </w:p>
        </w:tc>
        <w:tc>
          <w:tcPr>
            <w:tcW w:w="655" w:type="dxa"/>
          </w:tcPr>
          <w:p>
            <w:pPr>
              <w:pStyle w:val="7"/>
              <w:ind w:right="193"/>
              <w:rPr>
                <w:sz w:val="21"/>
              </w:rPr>
            </w:pPr>
            <w:r>
              <w:rPr>
                <w:sz w:val="21"/>
              </w:rPr>
              <w:t>26</w:t>
            </w:r>
          </w:p>
        </w:tc>
        <w:tc>
          <w:tcPr>
            <w:tcW w:w="656" w:type="dxa"/>
          </w:tcPr>
          <w:p>
            <w:pPr>
              <w:pStyle w:val="7"/>
              <w:ind w:left="221"/>
              <w:jc w:val="left"/>
              <w:rPr>
                <w:sz w:val="21"/>
              </w:rPr>
            </w:pPr>
            <w:r>
              <w:rPr>
                <w:sz w:val="21"/>
              </w:rPr>
              <w:t>27</w:t>
            </w:r>
          </w:p>
        </w:tc>
        <w:tc>
          <w:tcPr>
            <w:tcW w:w="655" w:type="dxa"/>
          </w:tcPr>
          <w:p>
            <w:pPr>
              <w:pStyle w:val="7"/>
              <w:ind w:left="221"/>
              <w:jc w:val="left"/>
              <w:rPr>
                <w:sz w:val="21"/>
              </w:rPr>
            </w:pPr>
            <w:r>
              <w:rPr>
                <w:sz w:val="21"/>
              </w:rPr>
              <w:t>28</w:t>
            </w:r>
          </w:p>
        </w:tc>
        <w:tc>
          <w:tcPr>
            <w:tcW w:w="655" w:type="dxa"/>
          </w:tcPr>
          <w:p>
            <w:pPr>
              <w:pStyle w:val="7"/>
              <w:ind w:right="193"/>
              <w:rPr>
                <w:sz w:val="21"/>
              </w:rPr>
            </w:pPr>
            <w:r>
              <w:rPr>
                <w:sz w:val="21"/>
              </w:rPr>
              <w:t>29</w:t>
            </w:r>
          </w:p>
        </w:tc>
        <w:tc>
          <w:tcPr>
            <w:tcW w:w="655" w:type="dxa"/>
          </w:tcPr>
          <w:p>
            <w:pPr>
              <w:pStyle w:val="7"/>
              <w:ind w:right="192"/>
              <w:rPr>
                <w:sz w:val="21"/>
              </w:rPr>
            </w:pPr>
            <w:r>
              <w:rPr>
                <w:sz w:val="21"/>
              </w:rPr>
              <w:t>30</w:t>
            </w:r>
          </w:p>
        </w:tc>
        <w:tc>
          <w:tcPr>
            <w:tcW w:w="658" w:type="dxa"/>
          </w:tcPr>
          <w:p>
            <w:pPr>
              <w:pStyle w:val="7"/>
              <w:ind w:left="202" w:right="195"/>
              <w:rPr>
                <w:sz w:val="21"/>
              </w:rPr>
            </w:pPr>
            <w:r>
              <w:rPr>
                <w:sz w:val="21"/>
              </w:rPr>
              <w:t>31</w:t>
            </w:r>
          </w:p>
        </w:tc>
        <w:tc>
          <w:tcPr>
            <w:tcW w:w="655" w:type="dxa"/>
          </w:tcPr>
          <w:p>
            <w:pPr>
              <w:pStyle w:val="7"/>
              <w:ind w:left="219"/>
              <w:jc w:val="left"/>
              <w:rPr>
                <w:sz w:val="21"/>
              </w:rPr>
            </w:pPr>
            <w:r>
              <w:rPr>
                <w:sz w:val="21"/>
              </w:rPr>
              <w:t>32</w:t>
            </w:r>
          </w:p>
        </w:tc>
        <w:tc>
          <w:tcPr>
            <w:tcW w:w="655" w:type="dxa"/>
          </w:tcPr>
          <w:p>
            <w:pPr>
              <w:pStyle w:val="7"/>
              <w:ind w:left="221"/>
              <w:jc w:val="left"/>
              <w:rPr>
                <w:sz w:val="21"/>
              </w:rPr>
            </w:pPr>
            <w:r>
              <w:rPr>
                <w:sz w:val="21"/>
              </w:rPr>
              <w:t>33</w:t>
            </w:r>
          </w:p>
        </w:tc>
        <w:tc>
          <w:tcPr>
            <w:tcW w:w="657" w:type="dxa"/>
          </w:tcPr>
          <w:p>
            <w:pPr>
              <w:pStyle w:val="7"/>
              <w:ind w:left="202" w:right="194"/>
              <w:rPr>
                <w:sz w:val="21"/>
              </w:rPr>
            </w:pPr>
            <w:r>
              <w:rPr>
                <w:sz w:val="21"/>
              </w:rPr>
              <w:t>34</w:t>
            </w:r>
          </w:p>
        </w:tc>
        <w:tc>
          <w:tcPr>
            <w:tcW w:w="655" w:type="dxa"/>
          </w:tcPr>
          <w:p>
            <w:pPr>
              <w:pStyle w:val="7"/>
              <w:ind w:right="193"/>
              <w:rPr>
                <w:sz w:val="21"/>
              </w:rPr>
            </w:pPr>
            <w:r>
              <w:rPr>
                <w:sz w:val="21"/>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5" w:type="dxa"/>
          </w:tcPr>
          <w:p>
            <w:pPr>
              <w:pStyle w:val="7"/>
              <w:spacing w:before="99"/>
              <w:ind w:left="107"/>
              <w:jc w:val="left"/>
              <w:rPr>
                <w:rFonts w:hint="eastAsia" w:ascii="宋体" w:eastAsia="宋体"/>
                <w:sz w:val="21"/>
              </w:rPr>
            </w:pPr>
            <w:r>
              <w:rPr>
                <w:rFonts w:hint="eastAsia" w:ascii="宋体" w:eastAsia="宋体"/>
                <w:sz w:val="21"/>
              </w:rPr>
              <w:t>答案</w:t>
            </w:r>
          </w:p>
        </w:tc>
        <w:tc>
          <w:tcPr>
            <w:tcW w:w="655" w:type="dxa"/>
          </w:tcPr>
          <w:p>
            <w:pPr>
              <w:pStyle w:val="7"/>
              <w:ind w:left="9"/>
              <w:rPr>
                <w:sz w:val="21"/>
              </w:rPr>
            </w:pPr>
            <w:r>
              <w:rPr>
                <w:w w:val="100"/>
                <w:sz w:val="21"/>
              </w:rPr>
              <w:t>B</w:t>
            </w:r>
          </w:p>
        </w:tc>
        <w:tc>
          <w:tcPr>
            <w:tcW w:w="655" w:type="dxa"/>
          </w:tcPr>
          <w:p>
            <w:pPr>
              <w:pStyle w:val="7"/>
              <w:ind w:left="11"/>
              <w:rPr>
                <w:sz w:val="21"/>
              </w:rPr>
            </w:pPr>
            <w:r>
              <w:rPr>
                <w:w w:val="100"/>
                <w:sz w:val="21"/>
              </w:rPr>
              <w:t>D</w:t>
            </w:r>
          </w:p>
        </w:tc>
        <w:tc>
          <w:tcPr>
            <w:tcW w:w="655" w:type="dxa"/>
          </w:tcPr>
          <w:p>
            <w:pPr>
              <w:pStyle w:val="7"/>
              <w:ind w:left="12"/>
              <w:rPr>
                <w:sz w:val="21"/>
              </w:rPr>
            </w:pPr>
            <w:r>
              <w:rPr>
                <w:w w:val="100"/>
                <w:sz w:val="21"/>
              </w:rPr>
              <w:t>A</w:t>
            </w:r>
          </w:p>
        </w:tc>
        <w:tc>
          <w:tcPr>
            <w:tcW w:w="656" w:type="dxa"/>
          </w:tcPr>
          <w:p>
            <w:pPr>
              <w:pStyle w:val="7"/>
              <w:ind w:left="257"/>
              <w:jc w:val="left"/>
              <w:rPr>
                <w:sz w:val="21"/>
              </w:rPr>
            </w:pPr>
            <w:r>
              <w:rPr>
                <w:w w:val="100"/>
                <w:sz w:val="21"/>
              </w:rPr>
              <w:t>C</w:t>
            </w:r>
          </w:p>
        </w:tc>
        <w:tc>
          <w:tcPr>
            <w:tcW w:w="655" w:type="dxa"/>
          </w:tcPr>
          <w:p>
            <w:pPr>
              <w:pStyle w:val="7"/>
              <w:ind w:left="252"/>
              <w:jc w:val="left"/>
              <w:rPr>
                <w:sz w:val="21"/>
              </w:rPr>
            </w:pPr>
            <w:r>
              <w:rPr>
                <w:w w:val="100"/>
                <w:sz w:val="21"/>
              </w:rPr>
              <w:t>A</w:t>
            </w:r>
          </w:p>
        </w:tc>
        <w:tc>
          <w:tcPr>
            <w:tcW w:w="655" w:type="dxa"/>
          </w:tcPr>
          <w:p>
            <w:pPr>
              <w:pStyle w:val="7"/>
              <w:ind w:left="12"/>
              <w:rPr>
                <w:sz w:val="21"/>
              </w:rPr>
            </w:pPr>
            <w:r>
              <w:rPr>
                <w:w w:val="100"/>
                <w:sz w:val="21"/>
              </w:rPr>
              <w:t>D</w:t>
            </w:r>
          </w:p>
        </w:tc>
        <w:tc>
          <w:tcPr>
            <w:tcW w:w="655" w:type="dxa"/>
          </w:tcPr>
          <w:p>
            <w:pPr>
              <w:pStyle w:val="7"/>
              <w:ind w:left="10"/>
              <w:rPr>
                <w:sz w:val="21"/>
              </w:rPr>
            </w:pPr>
            <w:r>
              <w:rPr>
                <w:w w:val="100"/>
                <w:sz w:val="21"/>
              </w:rPr>
              <w:t>C</w:t>
            </w:r>
          </w:p>
        </w:tc>
        <w:tc>
          <w:tcPr>
            <w:tcW w:w="658" w:type="dxa"/>
          </w:tcPr>
          <w:p>
            <w:pPr>
              <w:pStyle w:val="7"/>
              <w:ind w:left="9"/>
              <w:rPr>
                <w:sz w:val="21"/>
              </w:rPr>
            </w:pPr>
            <w:r>
              <w:rPr>
                <w:w w:val="100"/>
                <w:sz w:val="21"/>
              </w:rPr>
              <w:t>B</w:t>
            </w:r>
          </w:p>
        </w:tc>
        <w:tc>
          <w:tcPr>
            <w:tcW w:w="655" w:type="dxa"/>
          </w:tcPr>
          <w:p>
            <w:pPr>
              <w:pStyle w:val="7"/>
              <w:ind w:left="250"/>
              <w:jc w:val="left"/>
              <w:rPr>
                <w:sz w:val="21"/>
              </w:rPr>
            </w:pPr>
            <w:r>
              <w:rPr>
                <w:w w:val="100"/>
                <w:sz w:val="21"/>
              </w:rPr>
              <w:t>A</w:t>
            </w:r>
          </w:p>
        </w:tc>
        <w:tc>
          <w:tcPr>
            <w:tcW w:w="655" w:type="dxa"/>
          </w:tcPr>
          <w:p>
            <w:pPr>
              <w:pStyle w:val="7"/>
              <w:ind w:left="253"/>
              <w:jc w:val="left"/>
              <w:rPr>
                <w:sz w:val="21"/>
              </w:rPr>
            </w:pPr>
            <w:r>
              <w:rPr>
                <w:w w:val="100"/>
                <w:sz w:val="21"/>
              </w:rPr>
              <w:t>A</w:t>
            </w:r>
          </w:p>
        </w:tc>
        <w:tc>
          <w:tcPr>
            <w:tcW w:w="657" w:type="dxa"/>
          </w:tcPr>
          <w:p>
            <w:pPr>
              <w:pStyle w:val="7"/>
              <w:ind w:left="12"/>
              <w:rPr>
                <w:sz w:val="21"/>
              </w:rPr>
            </w:pPr>
            <w:r>
              <w:rPr>
                <w:w w:val="100"/>
                <w:sz w:val="21"/>
              </w:rPr>
              <w:t>D</w:t>
            </w:r>
          </w:p>
        </w:tc>
        <w:tc>
          <w:tcPr>
            <w:tcW w:w="655" w:type="dxa"/>
          </w:tcPr>
          <w:p>
            <w:pPr>
              <w:pStyle w:val="7"/>
              <w:ind w:left="9"/>
              <w:rPr>
                <w:sz w:val="21"/>
              </w:rPr>
            </w:pPr>
            <w:r>
              <w:rPr>
                <w:w w:val="100"/>
                <w:sz w:val="21"/>
              </w:rPr>
              <w:t>B</w:t>
            </w:r>
          </w:p>
        </w:tc>
      </w:tr>
    </w:tbl>
    <w:p>
      <w:pPr>
        <w:spacing w:before="3"/>
        <w:ind w:left="220" w:right="0" w:firstLine="0"/>
        <w:jc w:val="left"/>
        <w:rPr>
          <w:sz w:val="24"/>
        </w:rPr>
      </w:pPr>
      <w:r>
        <w:rPr>
          <w:sz w:val="24"/>
        </w:rPr>
        <w:t xml:space="preserve">二、非选择题。 </w:t>
      </w:r>
    </w:p>
    <w:p>
      <w:pPr>
        <w:pStyle w:val="3"/>
        <w:spacing w:before="1" w:line="240" w:lineRule="auto"/>
        <w:ind w:right="21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w w:val="100"/>
          <w:sz w:val="21"/>
          <w:szCs w:val="21"/>
        </w:rPr>
        <w:t>41</w:t>
      </w:r>
      <w:r>
        <w:rPr>
          <w:rFonts w:hint="eastAsia" w:asciiTheme="minorEastAsia" w:hAnsiTheme="minorEastAsia" w:eastAsiaTheme="minorEastAsia" w:cstheme="minorEastAsia"/>
          <w:spacing w:val="-12"/>
          <w:w w:val="100"/>
          <w:sz w:val="21"/>
          <w:szCs w:val="21"/>
        </w:rPr>
        <w:t>．</w:t>
      </w:r>
      <w:r>
        <w:rPr>
          <w:rFonts w:hint="eastAsia" w:asciiTheme="minorEastAsia" w:hAnsiTheme="minorEastAsia" w:eastAsiaTheme="minorEastAsia" w:cstheme="minorEastAsia"/>
          <w:w w:val="100"/>
          <w:sz w:val="21"/>
          <w:szCs w:val="21"/>
        </w:rPr>
        <w:t>1</w:t>
      </w:r>
      <w:r>
        <w:rPr>
          <w:rFonts w:hint="eastAsia" w:asciiTheme="minorEastAsia" w:hAnsiTheme="minorEastAsia" w:eastAsiaTheme="minorEastAsia" w:cstheme="minorEastAsia"/>
          <w:spacing w:val="-7"/>
          <w:w w:val="100"/>
          <w:sz w:val="21"/>
          <w:szCs w:val="21"/>
        </w:rPr>
        <w:t>、特点：自觉性</w:t>
      </w:r>
      <w:r>
        <w:rPr>
          <w:rFonts w:hint="eastAsia" w:asciiTheme="minorEastAsia" w:hAnsiTheme="minorEastAsia" w:eastAsiaTheme="minorEastAsia" w:cstheme="minorEastAsia"/>
          <w:spacing w:val="-3"/>
          <w:w w:val="100"/>
          <w:sz w:val="21"/>
          <w:szCs w:val="21"/>
        </w:rPr>
        <w:t>（</w:t>
      </w:r>
      <w:r>
        <w:rPr>
          <w:rFonts w:hint="eastAsia" w:asciiTheme="minorEastAsia" w:hAnsiTheme="minorEastAsia" w:eastAsiaTheme="minorEastAsia" w:cstheme="minorEastAsia"/>
          <w:spacing w:val="-5"/>
          <w:w w:val="100"/>
          <w:sz w:val="21"/>
          <w:szCs w:val="21"/>
        </w:rPr>
        <w:t>民间性、自治性</w:t>
      </w:r>
      <w:r>
        <w:rPr>
          <w:rFonts w:hint="eastAsia" w:asciiTheme="minorEastAsia" w:hAnsiTheme="minorEastAsia" w:eastAsiaTheme="minorEastAsia" w:cstheme="minorEastAsia"/>
          <w:spacing w:val="-106"/>
          <w:w w:val="100"/>
          <w:sz w:val="21"/>
          <w:szCs w:val="21"/>
        </w:rPr>
        <w:t>）</w:t>
      </w:r>
      <w:r>
        <w:rPr>
          <w:rFonts w:hint="eastAsia" w:asciiTheme="minorEastAsia" w:hAnsiTheme="minorEastAsia" w:eastAsiaTheme="minorEastAsia" w:cstheme="minorEastAsia"/>
          <w:spacing w:val="-7"/>
          <w:w w:val="100"/>
          <w:sz w:val="21"/>
          <w:szCs w:val="21"/>
        </w:rPr>
        <w:t>；义务性；侧重道德教化；选贤任能</w:t>
      </w:r>
      <w:r>
        <w:rPr>
          <w:rFonts w:hint="eastAsia" w:asciiTheme="minorEastAsia" w:hAnsiTheme="minorEastAsia" w:eastAsiaTheme="minorEastAsia" w:cstheme="minorEastAsia"/>
          <w:spacing w:val="-120"/>
          <w:w w:val="100"/>
          <w:sz w:val="21"/>
          <w:szCs w:val="21"/>
        </w:rPr>
        <w:t>；</w:t>
      </w:r>
      <w:r>
        <w:rPr>
          <w:rFonts w:hint="eastAsia" w:asciiTheme="minorEastAsia" w:hAnsiTheme="minorEastAsia" w:eastAsiaTheme="minorEastAsia" w:cstheme="minorEastAsia"/>
          <w:w w:val="100"/>
          <w:sz w:val="21"/>
          <w:szCs w:val="21"/>
        </w:rPr>
        <w:t>（</w:t>
      </w:r>
      <w:r>
        <w:rPr>
          <w:rFonts w:hint="eastAsia" w:asciiTheme="minorEastAsia" w:hAnsiTheme="minorEastAsia" w:eastAsiaTheme="minorEastAsia" w:cstheme="minorEastAsia"/>
          <w:spacing w:val="-5"/>
          <w:w w:val="100"/>
          <w:sz w:val="21"/>
          <w:szCs w:val="21"/>
        </w:rPr>
        <w:t>每点两分，任答两</w:t>
      </w:r>
      <w:r>
        <w:rPr>
          <w:rFonts w:hint="eastAsia" w:asciiTheme="minorEastAsia" w:hAnsiTheme="minorEastAsia" w:eastAsiaTheme="minorEastAsia" w:cstheme="minorEastAsia"/>
          <w:spacing w:val="-29"/>
          <w:sz w:val="21"/>
          <w:szCs w:val="21"/>
        </w:rPr>
        <w:t xml:space="preserve">点 </w:t>
      </w:r>
      <w:r>
        <w:rPr>
          <w:rFonts w:hint="eastAsia" w:asciiTheme="minorEastAsia" w:hAnsiTheme="minorEastAsia" w:eastAsiaTheme="minorEastAsia" w:cstheme="minorEastAsia"/>
          <w:sz w:val="21"/>
          <w:szCs w:val="21"/>
        </w:rPr>
        <w:t xml:space="preserve">4 </w:t>
      </w:r>
      <w:r>
        <w:rPr>
          <w:rFonts w:hint="eastAsia" w:asciiTheme="minorEastAsia" w:hAnsiTheme="minorEastAsia" w:eastAsiaTheme="minorEastAsia" w:cstheme="minorEastAsia"/>
          <w:spacing w:val="-3"/>
          <w:sz w:val="21"/>
          <w:szCs w:val="21"/>
        </w:rPr>
        <w:t>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spacing w:val="-17"/>
          <w:sz w:val="21"/>
          <w:szCs w:val="21"/>
        </w:rPr>
        <w:t xml:space="preserve">原因：士大夫的积极推动；挽救社会危机，加强基层管理的需要；小农经济的封闭性和脆弱性； </w:t>
      </w:r>
      <w:r>
        <w:rPr>
          <w:rFonts w:hint="eastAsia" w:asciiTheme="minorEastAsia" w:hAnsiTheme="minorEastAsia" w:eastAsiaTheme="minorEastAsia" w:cstheme="minorEastAsia"/>
          <w:spacing w:val="-7"/>
          <w:sz w:val="21"/>
          <w:szCs w:val="21"/>
        </w:rPr>
        <w:t>民间自</w:t>
      </w:r>
      <w:r>
        <w:rPr>
          <w:rFonts w:hint="eastAsia" w:asciiTheme="minorEastAsia" w:hAnsiTheme="minorEastAsia" w:eastAsiaTheme="minorEastAsia" w:cstheme="minorEastAsia"/>
          <w:w w:val="100"/>
          <w:sz w:val="21"/>
          <w:szCs w:val="21"/>
        </w:rPr>
        <w:t>治的传统；宗法性社会结构（每点 2 分，任答三点 6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2、不同：自上而下行政力量推动；一定程度打破宗族结构；政治管理网络严密（侧重政治管理）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（每点两分，任答两点 4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影响：有利于稳定乡村社会秩序；推动乡村经济发展和风气转变；削弱了传统家族势力对乡村的影响，加强了对乡村的控制管理；巩固了阎锡山对山西的统治。（每点两分，任答三点 6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3、乡土性宗法关系依然存在；乡绅自治的传统；浓厚的家国情怀；基层自治的政策支持；乡村经济文化教育水平的提高（每点两分，任答三点 5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42．分三部分给分：信息一分；历史现象三分；评论八分。注意：</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1、历史现象可反映闭关锁国、天朝上国观念、新航路开辟后世界经济联系密切等</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2、历史现象须同信息对应，不对应只给信息分数。</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3、评论应多角度。</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例：信息：拒绝英国继续遣使东来</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历史现象：体现了闭关锁国的对外政策</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评论：闭关锁国政策一方面对沿海地区的稳定起了积极作用，对于外来侵略也起到一定的自卫作用。但闭关锁国的长期推行，阻碍了与外国的科技文化交流，以至阻碍社会生产力的进步。限制对外贸易，丧失对外贸易自主权，严重阻碍了资本主义萌芽的发展。总之使中国逐渐落后于世界。</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45．1、挽救民族危机；西方农业科技的传入；“实业救国”思想的影响；“清末”新政的推动；“重农”的历史传统；“戊戌变法”的影响（每点 2 分，任答五点 9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2、推动农业近代化；加强了各省农会联系，有利于中国农村资产阶级的产生；有利于农作物的改良和农业新技术的推广和应用，增加农业产量；有利于促进近代工商业发展（每点两分，任答三点 6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46．1、原因：“冷战”背景下大国的干预；民族矛盾；宗教矛盾；争夺石油资源；（每点两分，任答三点 6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变化：中立——支持伊拉克——支持伊朗（弱势均衡政策）（2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2、为海湾战争埋下伏笔；增强了伊拉克民族国家认同；巩固了伊朗伊斯兰共和国；战争期间美国获取大量廉价石油资源；导致中东地区力量分化和重组，加强了美国与阿拉伯世界军事联系（加强了美国在中东地区的影响）；对世界经济造成破坏（每点 2 分，任答四点 7 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47．1、刚直不阿；为民请命；较高的军事才能；为国举贤；维护司法公正（每点两分，任答四点 7分）</w:t>
      </w:r>
    </w:p>
    <w:p>
      <w:pPr>
        <w:pStyle w:val="3"/>
        <w:spacing w:before="1" w:line="240" w:lineRule="auto"/>
        <w:ind w:right="213"/>
        <w:rPr>
          <w:rFonts w:hint="eastAsia" w:asciiTheme="minorEastAsia" w:hAnsiTheme="minorEastAsia" w:eastAsiaTheme="minorEastAsia" w:cstheme="minorEastAsia"/>
          <w:w w:val="100"/>
          <w:sz w:val="21"/>
          <w:szCs w:val="21"/>
        </w:rPr>
      </w:pPr>
      <w:r>
        <w:rPr>
          <w:rFonts w:hint="eastAsia" w:asciiTheme="minorEastAsia" w:hAnsiTheme="minorEastAsia" w:eastAsiaTheme="minorEastAsia" w:cstheme="minorEastAsia"/>
          <w:w w:val="100"/>
          <w:sz w:val="21"/>
          <w:szCs w:val="21"/>
        </w:rPr>
        <w:t>2、良好的家庭教育；清明的政治环境；统治者赏识；科举制为庶族知识分子提供了条件；个人优秀品质；贤良推举；突出的工作业绩（每点两分，任答四点 8 分）</w:t>
      </w:r>
    </w:p>
    <w:p>
      <w:pPr>
        <w:pStyle w:val="3"/>
        <w:spacing w:before="1" w:line="240" w:lineRule="auto"/>
        <w:ind w:right="213"/>
        <w:rPr>
          <w:rFonts w:hint="eastAsia" w:asciiTheme="minorEastAsia" w:hAnsiTheme="minorEastAsia" w:eastAsiaTheme="minorEastAsia" w:cstheme="minorEastAsia"/>
          <w:w w:val="100"/>
          <w:sz w:val="21"/>
          <w:szCs w:val="21"/>
          <w:lang w:eastAsia="zh-CN"/>
        </w:rPr>
      </w:pPr>
    </w:p>
    <w:p>
      <w:pPr>
        <w:pStyle w:val="3"/>
        <w:spacing w:before="1" w:line="240" w:lineRule="auto"/>
        <w:ind w:right="213"/>
        <w:rPr>
          <w:rFonts w:hint="eastAsia" w:asciiTheme="minorEastAsia" w:hAnsiTheme="minorEastAsia" w:eastAsiaTheme="minorEastAsia" w:cstheme="minorEastAsia"/>
          <w:w w:val="100"/>
          <w:sz w:val="21"/>
          <w:szCs w:val="21"/>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503311360" behindDoc="1" locked="0" layoutInCell="1" allowOverlap="1">
              <wp:simplePos x="0" y="0"/>
              <wp:positionH relativeFrom="page">
                <wp:posOffset>3725545</wp:posOffset>
              </wp:positionH>
              <wp:positionV relativeFrom="page">
                <wp:posOffset>9792335</wp:posOffset>
              </wp:positionV>
              <wp:extent cx="107950" cy="152400"/>
              <wp:effectExtent l="0" t="0" r="0" b="0"/>
              <wp:wrapNone/>
              <wp:docPr id="350" name="文本框 350"/>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w="9525">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3.35pt;margin-top:771.05pt;height:12pt;width:8.5pt;mso-position-horizontal-relative:page;mso-position-vertical-relative:page;z-index:-5120;mso-width-relative:page;mso-height-relative:page;" filled="f" stroked="f" coordsize="21600,21600" o:gfxdata="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3Ra72gAAAA0B&#10;AAAPAAAAAAAAAAEAIAAAACIAAABkcnMvZG93bnJldi54bWxQSwECFAAUAAAACACHTuJA0I2yLacB&#10;AAAwAwAADgAAAAAAAAABACAAAAApAQAAZHJzL2Uyb0RvYy54bWxQSwUGAAAAAAYABgBZAQAAQgUA&#10;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E25CF0"/>
    <w:rsid w:val="2ED751C2"/>
    <w:rsid w:val="4ACE1FDC"/>
    <w:rsid w:val="5456236A"/>
    <w:rsid w:val="68FD0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paragraph" w:styleId="2">
    <w:name w:val="heading 2"/>
    <w:basedOn w:val="1"/>
    <w:next w:val="1"/>
    <w:qFormat/>
    <w:uiPriority w:val="1"/>
    <w:pPr>
      <w:spacing w:before="3"/>
      <w:ind w:left="220"/>
      <w:outlineLvl w:val="2"/>
    </w:pPr>
    <w:rPr>
      <w:rFonts w:ascii="宋体" w:hAnsi="宋体" w:eastAsia="宋体" w:cs="宋体"/>
      <w:sz w:val="24"/>
      <w:szCs w:val="24"/>
      <w:lang w:val="zh-CN" w:eastAsia="zh-CN" w:bidi="zh-CN"/>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1"/>
      <w:szCs w:val="21"/>
      <w:lang w:val="zh-CN" w:eastAsia="zh-CN" w:bidi="zh-CN"/>
    </w:rPr>
  </w:style>
  <w:style w:type="character" w:customStyle="1" w:styleId="6">
    <w:name w:val="ca-5"/>
    <w:basedOn w:val="4"/>
    <w:uiPriority w:val="0"/>
  </w:style>
  <w:style w:type="paragraph" w:customStyle="1" w:styleId="7">
    <w:name w:val="Table Paragraph"/>
    <w:basedOn w:val="1"/>
    <w:qFormat/>
    <w:uiPriority w:val="1"/>
    <w:pPr>
      <w:spacing w:before="113"/>
      <w:ind w:left="201"/>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lxyz</dc:creator>
  <cp:lastModifiedBy>lxyz</cp:lastModifiedBy>
  <dcterms:modified xsi:type="dcterms:W3CDTF">2018-11-27T12:58:47Z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