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ind w:left="-32" w:leftChars="-67" w:hanging="109" w:hangingChars="39"/>
        <w:rPr>
          <w:rFonts w:ascii="宋体" w:hAnsi="宋体" w:cs="宋体"/>
          <w:kern w:val="0"/>
          <w:sz w:val="24"/>
          <w:szCs w:val="32"/>
        </w:rPr>
      </w:pPr>
      <w:r>
        <w:rPr>
          <w:rFonts w:hint="eastAsia" w:ascii="黑体" w:hAnsi="黑体" w:eastAsia="黑体" w:cs="宋体"/>
          <w:kern w:val="0"/>
          <w:sz w:val="28"/>
          <w:szCs w:val="28"/>
        </w:rPr>
        <w:t>附：</w:t>
      </w:r>
      <w:r>
        <w:rPr>
          <w:rFonts w:hint="eastAsia" w:ascii="黑体" w:hAnsi="黑体" w:eastAsia="黑体" w:cs="宋体"/>
          <w:kern w:val="0"/>
          <w:sz w:val="36"/>
          <w:szCs w:val="32"/>
        </w:rPr>
        <w:t xml:space="preserve">                     </w:t>
      </w:r>
      <w:bookmarkStart w:id="0" w:name="_GoBack"/>
      <w:r>
        <w:rPr>
          <w:rFonts w:hint="eastAsia" w:ascii="黑体" w:hAnsi="黑体" w:eastAsia="黑体" w:cs="宋体"/>
          <w:kern w:val="0"/>
          <w:sz w:val="36"/>
          <w:szCs w:val="32"/>
        </w:rPr>
        <w:t>中小学校体育工作督导评估指标体系</w:t>
      </w:r>
      <w:bookmarkEnd w:id="0"/>
    </w:p>
    <w:tbl>
      <w:tblPr>
        <w:tblStyle w:val="5"/>
        <w:tblpPr w:leftFromText="180" w:rightFromText="180" w:vertAnchor="text" w:horzAnchor="margin" w:tblpX="40" w:tblpY="356"/>
        <w:tblW w:w="14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231"/>
        <w:gridCol w:w="6521"/>
        <w:gridCol w:w="2341"/>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421" w:type="dxa"/>
            <w:tcBorders>
              <w:top w:val="single" w:color="auto" w:sz="4" w:space="0"/>
              <w:left w:val="single" w:color="auto" w:sz="4" w:space="0"/>
              <w:bottom w:val="single" w:color="auto" w:sz="4" w:space="0"/>
              <w:right w:val="single" w:color="auto" w:sz="4" w:space="0"/>
            </w:tcBorders>
            <w:vAlign w:val="center"/>
          </w:tcPr>
          <w:p>
            <w:pPr>
              <w:rPr>
                <w:b/>
                <w:kern w:val="0"/>
                <w:sz w:val="24"/>
              </w:rPr>
            </w:pPr>
            <w:r>
              <w:rPr>
                <w:rFonts w:hint="eastAsia"/>
                <w:b/>
                <w:kern w:val="0"/>
                <w:sz w:val="24"/>
              </w:rPr>
              <w:t>一级指标</w:t>
            </w:r>
          </w:p>
        </w:tc>
        <w:tc>
          <w:tcPr>
            <w:tcW w:w="2231" w:type="dxa"/>
            <w:tcBorders>
              <w:top w:val="single" w:color="auto" w:sz="4" w:space="0"/>
              <w:left w:val="single" w:color="auto" w:sz="4" w:space="0"/>
              <w:bottom w:val="single" w:color="auto" w:sz="4" w:space="0"/>
              <w:right w:val="single" w:color="auto" w:sz="4" w:space="0"/>
            </w:tcBorders>
            <w:vAlign w:val="center"/>
          </w:tcPr>
          <w:p>
            <w:pPr>
              <w:rPr>
                <w:b/>
                <w:kern w:val="0"/>
                <w:sz w:val="24"/>
              </w:rPr>
            </w:pPr>
            <w:r>
              <w:rPr>
                <w:rFonts w:hint="eastAsia"/>
                <w:b/>
                <w:kern w:val="0"/>
                <w:sz w:val="24"/>
              </w:rPr>
              <w:t>二级指标</w:t>
            </w:r>
          </w:p>
        </w:tc>
        <w:tc>
          <w:tcPr>
            <w:tcW w:w="6521" w:type="dxa"/>
            <w:tcBorders>
              <w:top w:val="single" w:color="auto" w:sz="4" w:space="0"/>
              <w:left w:val="single" w:color="auto" w:sz="4" w:space="0"/>
              <w:bottom w:val="single" w:color="auto" w:sz="4" w:space="0"/>
              <w:right w:val="single" w:color="auto" w:sz="4" w:space="0"/>
            </w:tcBorders>
            <w:vAlign w:val="center"/>
          </w:tcPr>
          <w:p>
            <w:pPr>
              <w:ind w:left="482" w:hanging="482" w:hangingChars="200"/>
              <w:rPr>
                <w:b/>
                <w:kern w:val="0"/>
                <w:sz w:val="24"/>
              </w:rPr>
            </w:pPr>
            <w:r>
              <w:rPr>
                <w:rFonts w:hint="eastAsia"/>
                <w:b/>
                <w:kern w:val="0"/>
                <w:sz w:val="24"/>
              </w:rPr>
              <w:t>三级指标</w:t>
            </w:r>
          </w:p>
        </w:tc>
        <w:tc>
          <w:tcPr>
            <w:tcW w:w="2341" w:type="dxa"/>
            <w:tcBorders>
              <w:top w:val="single" w:color="auto" w:sz="4" w:space="0"/>
              <w:left w:val="single" w:color="auto" w:sz="4" w:space="0"/>
              <w:bottom w:val="single" w:color="auto" w:sz="4" w:space="0"/>
              <w:right w:val="single" w:color="auto" w:sz="4" w:space="0"/>
            </w:tcBorders>
            <w:vAlign w:val="center"/>
          </w:tcPr>
          <w:p>
            <w:pPr>
              <w:rPr>
                <w:b/>
                <w:kern w:val="0"/>
                <w:sz w:val="24"/>
              </w:rPr>
            </w:pPr>
            <w:r>
              <w:rPr>
                <w:rFonts w:hint="eastAsia"/>
                <w:b/>
                <w:kern w:val="0"/>
                <w:sz w:val="24"/>
              </w:rPr>
              <w:t>计算公式</w:t>
            </w:r>
          </w:p>
        </w:tc>
        <w:tc>
          <w:tcPr>
            <w:tcW w:w="2380" w:type="dxa"/>
            <w:tcBorders>
              <w:top w:val="single" w:color="auto" w:sz="4" w:space="0"/>
              <w:left w:val="single" w:color="auto" w:sz="4" w:space="0"/>
              <w:bottom w:val="single" w:color="auto" w:sz="4" w:space="0"/>
              <w:right w:val="single" w:color="auto" w:sz="4" w:space="0"/>
            </w:tcBorders>
            <w:vAlign w:val="center"/>
          </w:tcPr>
          <w:p>
            <w:pPr>
              <w:rPr>
                <w:b/>
                <w:kern w:val="0"/>
                <w:sz w:val="24"/>
              </w:rPr>
            </w:pPr>
            <w:r>
              <w:rPr>
                <w:rFonts w:hint="eastAsia"/>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1421" w:type="dxa"/>
            <w:vMerge w:val="restart"/>
            <w:tcBorders>
              <w:top w:val="single" w:color="auto" w:sz="4" w:space="0"/>
              <w:left w:val="single" w:color="auto" w:sz="4" w:space="0"/>
              <w:bottom w:val="single" w:color="auto" w:sz="4" w:space="0"/>
              <w:right w:val="single" w:color="auto" w:sz="4" w:space="0"/>
            </w:tcBorders>
            <w:vAlign w:val="center"/>
          </w:tcPr>
          <w:p>
            <w:pPr>
              <w:rPr>
                <w:b/>
                <w:kern w:val="0"/>
                <w:sz w:val="22"/>
              </w:rPr>
            </w:pPr>
            <w:r>
              <w:rPr>
                <w:b/>
                <w:kern w:val="0"/>
                <w:sz w:val="22"/>
              </w:rPr>
              <w:t>A1</w:t>
            </w:r>
          </w:p>
          <w:p>
            <w:pPr>
              <w:rPr>
                <w:kern w:val="0"/>
              </w:rPr>
            </w:pPr>
            <w:r>
              <w:rPr>
                <w:rFonts w:hint="eastAsia"/>
                <w:b/>
                <w:kern w:val="0"/>
                <w:sz w:val="22"/>
              </w:rPr>
              <w:t>统筹管理</w:t>
            </w:r>
          </w:p>
        </w:tc>
        <w:tc>
          <w:tcPr>
            <w:tcW w:w="2231" w:type="dxa"/>
            <w:vMerge w:val="restart"/>
            <w:tcBorders>
              <w:top w:val="single" w:color="auto" w:sz="4" w:space="0"/>
              <w:left w:val="single" w:color="auto" w:sz="4" w:space="0"/>
              <w:bottom w:val="single" w:color="auto" w:sz="4" w:space="0"/>
              <w:right w:val="single" w:color="auto" w:sz="4" w:space="0"/>
            </w:tcBorders>
            <w:vAlign w:val="center"/>
          </w:tcPr>
          <w:p>
            <w:pPr>
              <w:ind w:left="325" w:hanging="325" w:hangingChars="155"/>
              <w:rPr>
                <w:rFonts w:ascii="宋体" w:hAnsi="宋体"/>
                <w:kern w:val="0"/>
                <w:szCs w:val="21"/>
              </w:rPr>
            </w:pPr>
            <w:r>
              <w:rPr>
                <w:rFonts w:ascii="宋体" w:hAnsi="宋体"/>
                <w:kern w:val="0"/>
                <w:szCs w:val="21"/>
              </w:rPr>
              <w:t xml:space="preserve">B1 </w:t>
            </w:r>
            <w:r>
              <w:rPr>
                <w:rFonts w:hint="eastAsia" w:ascii="宋体" w:hAnsi="宋体"/>
                <w:kern w:val="0"/>
                <w:szCs w:val="21"/>
              </w:rPr>
              <w:t>建立青少年体育工作联席会议制度</w:t>
            </w: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 xml:space="preserve">C1 </w:t>
            </w:r>
            <w:r>
              <w:rPr>
                <w:rFonts w:hint="eastAsia" w:ascii="宋体" w:hAnsi="宋体"/>
                <w:kern w:val="0"/>
                <w:szCs w:val="21"/>
              </w:rPr>
              <w:t>印发设立联席会议制度的文件</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b/>
                <w:kern w:val="0"/>
                <w:sz w:val="22"/>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 xml:space="preserve">C2 </w:t>
            </w:r>
            <w:r>
              <w:rPr>
                <w:rFonts w:hint="eastAsia" w:ascii="宋体" w:hAnsi="宋体"/>
                <w:kern w:val="0"/>
                <w:szCs w:val="21"/>
              </w:rPr>
              <w:t>有关部门定期共同研究解决学校体育的实际问题</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restart"/>
            <w:tcBorders>
              <w:top w:val="single" w:color="auto" w:sz="4" w:space="0"/>
              <w:left w:val="single" w:color="auto" w:sz="4" w:space="0"/>
              <w:bottom w:val="single" w:color="auto" w:sz="4" w:space="0"/>
              <w:right w:val="single" w:color="auto" w:sz="4" w:space="0"/>
            </w:tcBorders>
            <w:vAlign w:val="center"/>
          </w:tcPr>
          <w:p>
            <w:pPr>
              <w:ind w:left="325" w:hanging="325" w:hangingChars="155"/>
              <w:rPr>
                <w:rFonts w:ascii="宋体" w:hAnsi="宋体"/>
                <w:kern w:val="0"/>
                <w:szCs w:val="21"/>
              </w:rPr>
            </w:pPr>
            <w:r>
              <w:rPr>
                <w:rFonts w:ascii="宋体" w:hAnsi="宋体"/>
                <w:kern w:val="0"/>
                <w:szCs w:val="21"/>
              </w:rPr>
              <w:t xml:space="preserve">B2 </w:t>
            </w:r>
            <w:r>
              <w:rPr>
                <w:rFonts w:hint="eastAsia" w:ascii="宋体" w:hAnsi="宋体"/>
                <w:kern w:val="0"/>
                <w:szCs w:val="21"/>
              </w:rPr>
              <w:t>把学校体育工作纳入地方经济社会发展规划</w:t>
            </w: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 xml:space="preserve">C3 </w:t>
            </w:r>
            <w:r>
              <w:rPr>
                <w:rFonts w:hint="eastAsia" w:ascii="宋体" w:hAnsi="宋体"/>
                <w:kern w:val="0"/>
                <w:szCs w:val="21"/>
              </w:rPr>
              <w:t>在经济社会和教育等事业规划中明确提出强化学校体育和促进青少年健康的措施</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 xml:space="preserve">C4 </w:t>
            </w:r>
            <w:r>
              <w:rPr>
                <w:rFonts w:hint="eastAsia" w:ascii="宋体" w:hAnsi="宋体"/>
                <w:kern w:val="0"/>
                <w:szCs w:val="21"/>
              </w:rPr>
              <w:t>专门制定印发学校体育发展规划、具体实施方案和规范技术标准</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restart"/>
            <w:tcBorders>
              <w:top w:val="single" w:color="auto" w:sz="4" w:space="0"/>
              <w:left w:val="single" w:color="auto" w:sz="4" w:space="0"/>
              <w:right w:val="single" w:color="auto" w:sz="4" w:space="0"/>
            </w:tcBorders>
            <w:vAlign w:val="center"/>
          </w:tcPr>
          <w:p>
            <w:pPr>
              <w:ind w:left="325" w:hanging="325" w:hangingChars="155"/>
              <w:rPr>
                <w:rFonts w:ascii="宋体" w:hAnsi="宋体"/>
                <w:kern w:val="0"/>
                <w:szCs w:val="21"/>
              </w:rPr>
            </w:pPr>
            <w:r>
              <w:rPr>
                <w:rFonts w:ascii="宋体" w:hAnsi="宋体"/>
                <w:kern w:val="0"/>
                <w:szCs w:val="21"/>
              </w:rPr>
              <w:t>B3</w:t>
            </w:r>
            <w:r>
              <w:rPr>
                <w:rFonts w:hint="eastAsia" w:ascii="宋体" w:hAnsi="宋体"/>
                <w:kern w:val="0"/>
                <w:szCs w:val="21"/>
              </w:rPr>
              <w:t>把学校体育工作纳入工作考核指标</w:t>
            </w:r>
          </w:p>
          <w:p>
            <w:pPr>
              <w:ind w:left="325" w:hanging="325" w:hangingChars="155"/>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 xml:space="preserve">C5 </w:t>
            </w:r>
            <w:r>
              <w:rPr>
                <w:rFonts w:hint="eastAsia" w:ascii="宋体" w:hAnsi="宋体"/>
                <w:kern w:val="0"/>
                <w:szCs w:val="21"/>
              </w:rPr>
              <w:t>作为政府政绩考核指标，</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left w:val="single" w:color="auto" w:sz="4" w:space="0"/>
              <w:right w:val="single" w:color="auto" w:sz="4" w:space="0"/>
            </w:tcBorders>
            <w:vAlign w:val="center"/>
          </w:tcPr>
          <w:p>
            <w:pPr>
              <w:ind w:left="325" w:hanging="325" w:hangingChars="155"/>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6年度政府工作报告包括学校体育或青少年学生健康的内容</w:t>
            </w:r>
          </w:p>
        </w:tc>
        <w:tc>
          <w:tcPr>
            <w:tcW w:w="23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left w:val="single" w:color="auto" w:sz="4" w:space="0"/>
              <w:right w:val="single" w:color="auto" w:sz="4" w:space="0"/>
            </w:tcBorders>
            <w:vAlign w:val="center"/>
          </w:tcPr>
          <w:p>
            <w:pPr>
              <w:ind w:left="325" w:hanging="325" w:hangingChars="155"/>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7</w:t>
            </w:r>
            <w:r>
              <w:rPr>
                <w:rFonts w:ascii="宋体" w:hAnsi="宋体"/>
                <w:kern w:val="0"/>
                <w:szCs w:val="21"/>
              </w:rPr>
              <w:t xml:space="preserve"> </w:t>
            </w:r>
            <w:r>
              <w:rPr>
                <w:rFonts w:hint="eastAsia" w:ascii="宋体" w:hAnsi="宋体"/>
                <w:kern w:val="0"/>
                <w:szCs w:val="21"/>
              </w:rPr>
              <w:t>作为教育行政部门业绩考核评价指标</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left w:val="single" w:color="auto" w:sz="4" w:space="0"/>
              <w:right w:val="single" w:color="auto" w:sz="4" w:space="0"/>
            </w:tcBorders>
            <w:vAlign w:val="center"/>
          </w:tcPr>
          <w:p>
            <w:pPr>
              <w:ind w:left="325" w:hanging="325" w:hangingChars="155"/>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8</w:t>
            </w:r>
            <w:r>
              <w:rPr>
                <w:rFonts w:ascii="宋体" w:hAnsi="宋体"/>
                <w:kern w:val="0"/>
                <w:szCs w:val="21"/>
              </w:rPr>
              <w:t xml:space="preserve"> </w:t>
            </w:r>
            <w:r>
              <w:rPr>
                <w:rFonts w:hint="eastAsia" w:ascii="宋体" w:hAnsi="宋体"/>
                <w:kern w:val="0"/>
                <w:szCs w:val="21"/>
              </w:rPr>
              <w:t>作为学校负责人业绩考核评价指标</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left w:val="single" w:color="auto" w:sz="4" w:space="0"/>
              <w:right w:val="single" w:color="auto" w:sz="4" w:space="0"/>
            </w:tcBorders>
            <w:vAlign w:val="center"/>
          </w:tcPr>
          <w:p>
            <w:pPr>
              <w:ind w:left="325" w:hanging="325" w:hangingChars="155"/>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9建立学校、社区、家庭相结合的青少年体育网络，包括建立社会力量支持学校体育发展的长效机制</w:t>
            </w:r>
          </w:p>
        </w:tc>
        <w:tc>
          <w:tcPr>
            <w:tcW w:w="23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left w:val="single" w:color="auto" w:sz="4" w:space="0"/>
              <w:right w:val="single" w:color="auto" w:sz="4" w:space="0"/>
            </w:tcBorders>
            <w:vAlign w:val="center"/>
          </w:tcPr>
          <w:p>
            <w:pPr>
              <w:ind w:left="325" w:hanging="325" w:hangingChars="155"/>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10建立学校体育工作督导机制，定期开展学校体育工作专项督导</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left w:val="single" w:color="auto" w:sz="4" w:space="0"/>
              <w:bottom w:val="single" w:color="auto" w:sz="4" w:space="0"/>
              <w:right w:val="single" w:color="auto" w:sz="4" w:space="0"/>
            </w:tcBorders>
            <w:vAlign w:val="center"/>
          </w:tcPr>
          <w:p>
            <w:pPr>
              <w:ind w:left="325" w:hanging="325" w:hangingChars="155"/>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C1</w:t>
            </w:r>
            <w:r>
              <w:rPr>
                <w:rFonts w:hint="eastAsia" w:ascii="宋体" w:hAnsi="宋体"/>
                <w:kern w:val="0"/>
                <w:szCs w:val="21"/>
              </w:rPr>
              <w:t>1</w:t>
            </w:r>
            <w:r>
              <w:rPr>
                <w:rFonts w:ascii="宋体" w:hAnsi="宋体"/>
                <w:kern w:val="0"/>
                <w:szCs w:val="21"/>
              </w:rPr>
              <w:t xml:space="preserve"> </w:t>
            </w:r>
            <w:r>
              <w:rPr>
                <w:rFonts w:hint="eastAsia" w:ascii="宋体" w:hAnsi="宋体"/>
                <w:kern w:val="0"/>
                <w:szCs w:val="21"/>
              </w:rPr>
              <w:t>对学校体育工作成绩突出的地方、部门、学校和个人进行表彰奖励</w:t>
            </w:r>
          </w:p>
        </w:tc>
        <w:tc>
          <w:tcPr>
            <w:tcW w:w="23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421" w:type="dxa"/>
            <w:vMerge w:val="restart"/>
            <w:tcBorders>
              <w:top w:val="single" w:color="auto" w:sz="4" w:space="0"/>
              <w:left w:val="single" w:color="auto" w:sz="4" w:space="0"/>
              <w:bottom w:val="single" w:color="auto" w:sz="4" w:space="0"/>
              <w:right w:val="single" w:color="auto" w:sz="4" w:space="0"/>
            </w:tcBorders>
            <w:vAlign w:val="center"/>
          </w:tcPr>
          <w:p>
            <w:pPr>
              <w:rPr>
                <w:b/>
                <w:kern w:val="0"/>
                <w:sz w:val="22"/>
              </w:rPr>
            </w:pPr>
            <w:r>
              <w:rPr>
                <w:b/>
                <w:kern w:val="0"/>
                <w:sz w:val="22"/>
              </w:rPr>
              <w:t>A2</w:t>
            </w:r>
          </w:p>
          <w:p>
            <w:pPr>
              <w:rPr>
                <w:kern w:val="0"/>
              </w:rPr>
            </w:pPr>
            <w:r>
              <w:rPr>
                <w:rFonts w:hint="eastAsia"/>
                <w:b/>
                <w:kern w:val="0"/>
                <w:sz w:val="22"/>
              </w:rPr>
              <w:t>教育教学</w:t>
            </w:r>
          </w:p>
        </w:tc>
        <w:tc>
          <w:tcPr>
            <w:tcW w:w="2231" w:type="dxa"/>
            <w:vMerge w:val="restart"/>
            <w:tcBorders>
              <w:top w:val="single" w:color="auto" w:sz="4" w:space="0"/>
              <w:left w:val="single" w:color="auto" w:sz="4" w:space="0"/>
              <w:bottom w:val="single" w:color="auto" w:sz="4" w:space="0"/>
              <w:right w:val="single" w:color="auto" w:sz="4" w:space="0"/>
            </w:tcBorders>
            <w:vAlign w:val="center"/>
          </w:tcPr>
          <w:p>
            <w:pPr>
              <w:ind w:left="325" w:hanging="325" w:hangingChars="155"/>
              <w:rPr>
                <w:rFonts w:ascii="宋体" w:hAnsi="宋体"/>
                <w:kern w:val="0"/>
                <w:szCs w:val="21"/>
              </w:rPr>
            </w:pPr>
            <w:r>
              <w:rPr>
                <w:rFonts w:ascii="宋体" w:hAnsi="宋体"/>
                <w:kern w:val="0"/>
                <w:szCs w:val="21"/>
              </w:rPr>
              <w:t>B</w:t>
            </w:r>
            <w:r>
              <w:rPr>
                <w:rFonts w:hint="eastAsia" w:ascii="宋体" w:hAnsi="宋体"/>
                <w:kern w:val="0"/>
                <w:szCs w:val="21"/>
              </w:rPr>
              <w:t>4</w:t>
            </w:r>
            <w:r>
              <w:rPr>
                <w:rFonts w:ascii="宋体" w:hAnsi="宋体"/>
                <w:kern w:val="0"/>
                <w:szCs w:val="21"/>
              </w:rPr>
              <w:t xml:space="preserve"> </w:t>
            </w:r>
            <w:r>
              <w:rPr>
                <w:rFonts w:hint="eastAsia" w:ascii="宋体" w:hAnsi="宋体"/>
                <w:kern w:val="0"/>
                <w:szCs w:val="21"/>
              </w:rPr>
              <w:t>体育教学</w:t>
            </w: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C1</w:t>
            </w:r>
            <w:r>
              <w:rPr>
                <w:rFonts w:hint="eastAsia" w:ascii="宋体" w:hAnsi="宋体"/>
                <w:kern w:val="0"/>
                <w:szCs w:val="21"/>
              </w:rPr>
              <w:t>2体育课开足率</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按照课程标准考核</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13</w:t>
            </w:r>
            <w:r>
              <w:rPr>
                <w:rFonts w:ascii="宋体" w:hAnsi="宋体"/>
                <w:kern w:val="0"/>
                <w:szCs w:val="21"/>
              </w:rPr>
              <w:t xml:space="preserve"> </w:t>
            </w:r>
            <w:r>
              <w:rPr>
                <w:rFonts w:hint="eastAsia" w:ascii="宋体" w:hAnsi="宋体"/>
                <w:kern w:val="0"/>
                <w:szCs w:val="21"/>
              </w:rPr>
              <w:t>学校对在校学生进行必要的安全教育和自护自救教育，开展运动风险管理安全知识、技能培训</w:t>
            </w:r>
          </w:p>
        </w:tc>
        <w:tc>
          <w:tcPr>
            <w:tcW w:w="234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C1</w:t>
            </w:r>
            <w:r>
              <w:rPr>
                <w:rFonts w:hint="eastAsia" w:ascii="宋体" w:hAnsi="宋体"/>
                <w:kern w:val="0"/>
                <w:szCs w:val="21"/>
              </w:rPr>
              <w:t>4</w:t>
            </w:r>
            <w:r>
              <w:rPr>
                <w:rFonts w:ascii="宋体" w:hAnsi="宋体"/>
                <w:kern w:val="0"/>
                <w:szCs w:val="21"/>
              </w:rPr>
              <w:t xml:space="preserve"> </w:t>
            </w:r>
            <w:r>
              <w:rPr>
                <w:rFonts w:hint="eastAsia" w:ascii="宋体" w:hAnsi="宋体"/>
                <w:kern w:val="0"/>
                <w:szCs w:val="21"/>
              </w:rPr>
              <w:t>建立家庭体育作业制度</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C1</w:t>
            </w:r>
            <w:r>
              <w:rPr>
                <w:rFonts w:hint="eastAsia" w:ascii="宋体" w:hAnsi="宋体"/>
                <w:kern w:val="0"/>
                <w:szCs w:val="21"/>
              </w:rPr>
              <w:t>5开展运动项目教学、训练，提高学生专项运动能力，至少在两个体育运动项目上形成传统</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restart"/>
            <w:tcBorders>
              <w:top w:val="single" w:color="auto" w:sz="4" w:space="0"/>
              <w:left w:val="single" w:color="auto" w:sz="4" w:space="0"/>
              <w:bottom w:val="single" w:color="auto" w:sz="4" w:space="0"/>
              <w:right w:val="single" w:color="auto" w:sz="4" w:space="0"/>
            </w:tcBorders>
            <w:vAlign w:val="center"/>
          </w:tcPr>
          <w:p>
            <w:pPr>
              <w:ind w:left="325" w:hanging="325" w:hangingChars="155"/>
              <w:rPr>
                <w:rFonts w:ascii="宋体" w:hAnsi="宋体"/>
                <w:kern w:val="0"/>
                <w:szCs w:val="21"/>
              </w:rPr>
            </w:pPr>
            <w:r>
              <w:rPr>
                <w:rFonts w:ascii="宋体" w:hAnsi="宋体"/>
                <w:kern w:val="0"/>
                <w:szCs w:val="21"/>
              </w:rPr>
              <w:t>B</w:t>
            </w:r>
            <w:r>
              <w:rPr>
                <w:rFonts w:hint="eastAsia" w:ascii="宋体" w:hAnsi="宋体"/>
                <w:kern w:val="0"/>
                <w:szCs w:val="21"/>
              </w:rPr>
              <w:t>5课外锻炼</w:t>
            </w:r>
          </w:p>
        </w:tc>
        <w:tc>
          <w:tcPr>
            <w:tcW w:w="652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C</w:t>
            </w:r>
            <w:r>
              <w:rPr>
                <w:rFonts w:hint="eastAsia" w:ascii="宋体" w:hAnsi="宋体"/>
                <w:kern w:val="0"/>
                <w:szCs w:val="21"/>
              </w:rPr>
              <w:t>16</w:t>
            </w:r>
            <w:r>
              <w:rPr>
                <w:rFonts w:ascii="宋体" w:hAnsi="宋体"/>
                <w:kern w:val="0"/>
                <w:szCs w:val="21"/>
              </w:rPr>
              <w:t xml:space="preserve"> </w:t>
            </w:r>
            <w:r>
              <w:rPr>
                <w:rFonts w:hint="eastAsia" w:ascii="宋体" w:hAnsi="宋体"/>
                <w:kern w:val="0"/>
                <w:szCs w:val="21"/>
              </w:rPr>
              <w:t>保证一小时锻炼时间的落实率</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落实一小时锻炼时间的学校比率</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重点督查大课间活动安排次数</w:t>
            </w:r>
            <w:r>
              <w:rPr>
                <w:rFonts w:ascii="宋体" w:hAnsi="宋体"/>
                <w:kern w:val="0"/>
                <w:szCs w:val="21"/>
              </w:rPr>
              <w:t>/</w:t>
            </w:r>
            <w:r>
              <w:rPr>
                <w:rFonts w:hint="eastAsia" w:ascii="宋体" w:hAnsi="宋体"/>
                <w:kern w:val="0"/>
                <w:szCs w:val="21"/>
              </w:rPr>
              <w:t>教学天数；寄宿制学校建立每天做早操制度；制订和实施体育课、大课间和课外体育活动一体化的阳光体育运动方案等工作情况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rPr>
                <w:rFonts w:ascii="宋体" w:hAnsi="宋体"/>
                <w:b/>
                <w:kern w:val="0"/>
                <w:szCs w:val="21"/>
              </w:rPr>
            </w:pPr>
            <w:r>
              <w:rPr>
                <w:rFonts w:ascii="宋体" w:hAnsi="宋体"/>
                <w:kern w:val="0"/>
                <w:szCs w:val="21"/>
              </w:rPr>
              <w:t>C</w:t>
            </w:r>
            <w:r>
              <w:rPr>
                <w:rFonts w:hint="eastAsia" w:ascii="宋体" w:hAnsi="宋体"/>
                <w:kern w:val="0"/>
                <w:szCs w:val="21"/>
              </w:rPr>
              <w:t>17</w:t>
            </w:r>
            <w:r>
              <w:rPr>
                <w:rFonts w:ascii="宋体" w:hAnsi="宋体"/>
                <w:kern w:val="0"/>
                <w:szCs w:val="21"/>
              </w:rPr>
              <w:t xml:space="preserve"> </w:t>
            </w:r>
            <w:r>
              <w:rPr>
                <w:rFonts w:hint="eastAsia" w:ascii="宋体" w:hAnsi="宋体"/>
                <w:kern w:val="0"/>
                <w:szCs w:val="21"/>
              </w:rPr>
              <w:t>高中阶段学校落实学生军事训练制度，中小学开展国防教育</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b/>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b/>
                <w:kern w:val="0"/>
                <w:szCs w:val="21"/>
              </w:rPr>
            </w:pPr>
            <w:r>
              <w:rPr>
                <w:rFonts w:hint="eastAsia" w:ascii="宋体" w:hAnsi="宋体"/>
                <w:kern w:val="0"/>
                <w:szCs w:val="21"/>
              </w:rPr>
              <w:t>重点督查落实《高级中学学生军事训练教学大纲》和《学生军事训练工作规定》和国防教育政策情况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18</w:t>
            </w:r>
            <w:r>
              <w:rPr>
                <w:rFonts w:ascii="宋体" w:hAnsi="宋体"/>
                <w:kern w:val="0"/>
                <w:szCs w:val="21"/>
              </w:rPr>
              <w:t xml:space="preserve"> </w:t>
            </w:r>
            <w:r>
              <w:rPr>
                <w:rFonts w:hint="eastAsia" w:ascii="宋体" w:hAnsi="宋体"/>
                <w:kern w:val="0"/>
                <w:szCs w:val="21"/>
              </w:rPr>
              <w:t>建立定期组织综合性或专项性的学生体育运动会制度</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19</w:t>
            </w:r>
            <w:r>
              <w:rPr>
                <w:rFonts w:ascii="宋体" w:hAnsi="宋体"/>
                <w:kern w:val="0"/>
                <w:szCs w:val="21"/>
              </w:rPr>
              <w:t xml:space="preserve"> </w:t>
            </w:r>
            <w:r>
              <w:rPr>
                <w:rFonts w:hint="eastAsia" w:ascii="宋体" w:hAnsi="宋体"/>
                <w:kern w:val="0"/>
                <w:szCs w:val="21"/>
              </w:rPr>
              <w:t>学校组建有运动队、代表队、俱乐部、兴趣小组等，积极开展课余体育训练</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21" w:type="dxa"/>
            <w:vMerge w:val="restart"/>
            <w:tcBorders>
              <w:top w:val="single" w:color="auto" w:sz="4" w:space="0"/>
              <w:left w:val="single" w:color="auto" w:sz="4" w:space="0"/>
              <w:bottom w:val="single" w:color="auto" w:sz="4" w:space="0"/>
              <w:right w:val="single" w:color="auto" w:sz="4" w:space="0"/>
            </w:tcBorders>
            <w:vAlign w:val="center"/>
          </w:tcPr>
          <w:p>
            <w:pPr>
              <w:rPr>
                <w:b/>
                <w:kern w:val="0"/>
                <w:sz w:val="22"/>
              </w:rPr>
            </w:pPr>
            <w:r>
              <w:rPr>
                <w:b/>
                <w:kern w:val="0"/>
                <w:sz w:val="22"/>
              </w:rPr>
              <w:t>A3</w:t>
            </w:r>
          </w:p>
          <w:p>
            <w:pPr>
              <w:rPr>
                <w:kern w:val="0"/>
              </w:rPr>
            </w:pPr>
            <w:r>
              <w:rPr>
                <w:rFonts w:hint="eastAsia"/>
                <w:b/>
                <w:kern w:val="0"/>
                <w:sz w:val="22"/>
              </w:rPr>
              <w:t>条件保障</w:t>
            </w:r>
          </w:p>
        </w:tc>
        <w:tc>
          <w:tcPr>
            <w:tcW w:w="2231" w:type="dxa"/>
            <w:vMerge w:val="restart"/>
            <w:tcBorders>
              <w:top w:val="single" w:color="auto" w:sz="4" w:space="0"/>
              <w:left w:val="single" w:color="auto" w:sz="4" w:space="0"/>
              <w:bottom w:val="single" w:color="auto" w:sz="4" w:space="0"/>
              <w:right w:val="single" w:color="auto" w:sz="4" w:space="0"/>
            </w:tcBorders>
            <w:vAlign w:val="center"/>
          </w:tcPr>
          <w:p>
            <w:pPr>
              <w:ind w:left="325" w:hanging="325" w:hangingChars="155"/>
              <w:rPr>
                <w:rFonts w:ascii="宋体" w:hAnsi="宋体"/>
                <w:kern w:val="0"/>
                <w:szCs w:val="21"/>
              </w:rPr>
            </w:pPr>
            <w:r>
              <w:rPr>
                <w:rFonts w:ascii="宋体" w:hAnsi="宋体"/>
                <w:kern w:val="0"/>
                <w:szCs w:val="21"/>
              </w:rPr>
              <w:t>B</w:t>
            </w:r>
            <w:r>
              <w:rPr>
                <w:rFonts w:hint="eastAsia" w:ascii="宋体" w:hAnsi="宋体"/>
                <w:kern w:val="0"/>
                <w:szCs w:val="21"/>
              </w:rPr>
              <w:t>6师资配备与培训</w:t>
            </w: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20</w:t>
            </w:r>
            <w:r>
              <w:rPr>
                <w:rFonts w:ascii="宋体" w:hAnsi="宋体"/>
                <w:kern w:val="0"/>
                <w:szCs w:val="21"/>
              </w:rPr>
              <w:t xml:space="preserve"> </w:t>
            </w:r>
            <w:r>
              <w:rPr>
                <w:rFonts w:hint="eastAsia" w:ascii="宋体" w:hAnsi="宋体"/>
                <w:kern w:val="0"/>
                <w:szCs w:val="21"/>
              </w:rPr>
              <w:t>体育教师配备率</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实际体育教师数</w:t>
            </w:r>
            <w:r>
              <w:rPr>
                <w:rFonts w:ascii="宋体" w:hAnsi="宋体"/>
                <w:kern w:val="0"/>
                <w:szCs w:val="21"/>
              </w:rPr>
              <w:t>/</w:t>
            </w:r>
            <w:r>
              <w:rPr>
                <w:rFonts w:hint="eastAsia" w:ascii="宋体" w:hAnsi="宋体"/>
                <w:kern w:val="0"/>
                <w:szCs w:val="21"/>
              </w:rPr>
              <w:t>应配体育教师数，近三年补充数量</w:t>
            </w:r>
          </w:p>
        </w:tc>
        <w:tc>
          <w:tcPr>
            <w:tcW w:w="23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18"/>
                <w:szCs w:val="18"/>
              </w:rPr>
            </w:pPr>
            <w:r>
              <w:rPr>
                <w:rFonts w:hint="eastAsia" w:ascii="宋体" w:hAnsi="宋体"/>
                <w:kern w:val="0"/>
                <w:szCs w:val="21"/>
              </w:rPr>
              <w:t>参照《国家学校体育卫生条件基本标准》要求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C2</w:t>
            </w:r>
            <w:r>
              <w:rPr>
                <w:rFonts w:hint="eastAsia" w:ascii="宋体" w:hAnsi="宋体"/>
                <w:kern w:val="0"/>
                <w:szCs w:val="21"/>
              </w:rPr>
              <w:t>1</w:t>
            </w:r>
            <w:r>
              <w:rPr>
                <w:rFonts w:ascii="宋体" w:hAnsi="宋体"/>
                <w:kern w:val="0"/>
                <w:szCs w:val="21"/>
              </w:rPr>
              <w:t xml:space="preserve"> </w:t>
            </w:r>
            <w:r>
              <w:rPr>
                <w:rFonts w:hint="eastAsia" w:ascii="宋体" w:hAnsi="宋体"/>
                <w:kern w:val="0"/>
                <w:szCs w:val="21"/>
              </w:rPr>
              <w:t>体育教师组织课间操（早操）、课外体育活动和课余训练、体育竞赛、学生体质健康测试给予计算工作量。对体育教师的职务聘任、工资待遇与其他任课教师同等对待</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restart"/>
            <w:tcBorders>
              <w:top w:val="single" w:color="auto" w:sz="4" w:space="0"/>
              <w:left w:val="single" w:color="auto" w:sz="4" w:space="0"/>
              <w:bottom w:val="single" w:color="auto" w:sz="4" w:space="0"/>
              <w:right w:val="single" w:color="auto" w:sz="4" w:space="0"/>
            </w:tcBorders>
            <w:vAlign w:val="center"/>
          </w:tcPr>
          <w:p>
            <w:pPr>
              <w:ind w:left="325" w:hanging="325" w:hangingChars="155"/>
              <w:rPr>
                <w:rFonts w:ascii="宋体" w:hAnsi="宋体"/>
                <w:kern w:val="0"/>
                <w:szCs w:val="21"/>
              </w:rPr>
            </w:pPr>
            <w:r>
              <w:rPr>
                <w:rFonts w:ascii="宋体" w:hAnsi="宋体"/>
                <w:kern w:val="0"/>
                <w:szCs w:val="21"/>
              </w:rPr>
              <w:t>B</w:t>
            </w:r>
            <w:r>
              <w:rPr>
                <w:rFonts w:hint="eastAsia" w:ascii="宋体" w:hAnsi="宋体"/>
                <w:kern w:val="0"/>
                <w:szCs w:val="21"/>
              </w:rPr>
              <w:t>7</w:t>
            </w:r>
            <w:r>
              <w:rPr>
                <w:rFonts w:ascii="宋体" w:hAnsi="宋体"/>
                <w:kern w:val="0"/>
                <w:szCs w:val="21"/>
              </w:rPr>
              <w:t xml:space="preserve"> </w:t>
            </w:r>
            <w:r>
              <w:rPr>
                <w:rFonts w:hint="eastAsia" w:ascii="宋体" w:hAnsi="宋体"/>
                <w:kern w:val="0"/>
                <w:szCs w:val="21"/>
              </w:rPr>
              <w:t>体育设施设备</w:t>
            </w:r>
          </w:p>
        </w:tc>
        <w:tc>
          <w:tcPr>
            <w:tcW w:w="652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C</w:t>
            </w:r>
            <w:r>
              <w:rPr>
                <w:rFonts w:hint="eastAsia" w:ascii="宋体" w:hAnsi="宋体"/>
                <w:kern w:val="0"/>
                <w:szCs w:val="21"/>
              </w:rPr>
              <w:t>22</w:t>
            </w:r>
            <w:r>
              <w:rPr>
                <w:rFonts w:ascii="宋体" w:hAnsi="宋体"/>
                <w:kern w:val="0"/>
                <w:szCs w:val="21"/>
              </w:rPr>
              <w:t xml:space="preserve"> </w:t>
            </w:r>
            <w:r>
              <w:rPr>
                <w:rFonts w:hint="eastAsia" w:ascii="宋体" w:hAnsi="宋体"/>
                <w:kern w:val="0"/>
                <w:szCs w:val="21"/>
              </w:rPr>
              <w:t>体育场地达标率</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达到《国家体育卫生条件基本标准》要求的学校数</w:t>
            </w:r>
            <w:r>
              <w:rPr>
                <w:rFonts w:ascii="宋体" w:hAnsi="宋体"/>
                <w:kern w:val="0"/>
                <w:szCs w:val="21"/>
              </w:rPr>
              <w:t>/</w:t>
            </w:r>
            <w:r>
              <w:rPr>
                <w:rFonts w:hint="eastAsia" w:ascii="宋体" w:hAnsi="宋体"/>
                <w:kern w:val="0"/>
                <w:szCs w:val="21"/>
              </w:rPr>
              <w:t>学校总数</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C</w:t>
            </w:r>
            <w:r>
              <w:rPr>
                <w:rFonts w:hint="eastAsia" w:ascii="宋体" w:hAnsi="宋体"/>
                <w:kern w:val="0"/>
                <w:szCs w:val="21"/>
              </w:rPr>
              <w:t>23</w:t>
            </w:r>
            <w:r>
              <w:rPr>
                <w:rFonts w:ascii="宋体" w:hAnsi="宋体"/>
                <w:kern w:val="0"/>
                <w:szCs w:val="21"/>
              </w:rPr>
              <w:t xml:space="preserve"> </w:t>
            </w:r>
            <w:r>
              <w:rPr>
                <w:rFonts w:hint="eastAsia" w:ascii="宋体" w:hAnsi="宋体"/>
                <w:kern w:val="0"/>
                <w:szCs w:val="21"/>
              </w:rPr>
              <w:t>体育器材达标率</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达到《国家体育卫生条件基本标准》要求对体育器材要求的学校数</w:t>
            </w:r>
            <w:r>
              <w:rPr>
                <w:rFonts w:ascii="宋体" w:hAnsi="宋体"/>
                <w:kern w:val="0"/>
                <w:szCs w:val="21"/>
              </w:rPr>
              <w:t>/</w:t>
            </w:r>
            <w:r>
              <w:rPr>
                <w:rFonts w:hint="eastAsia" w:ascii="宋体" w:hAnsi="宋体"/>
                <w:kern w:val="0"/>
                <w:szCs w:val="21"/>
              </w:rPr>
              <w:t>学校总数</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tcBorders>
              <w:top w:val="single" w:color="auto" w:sz="4" w:space="0"/>
              <w:left w:val="single" w:color="auto" w:sz="4" w:space="0"/>
              <w:bottom w:val="single" w:color="auto" w:sz="4" w:space="0"/>
              <w:right w:val="single" w:color="auto" w:sz="4" w:space="0"/>
            </w:tcBorders>
            <w:vAlign w:val="center"/>
          </w:tcPr>
          <w:p>
            <w:pPr>
              <w:ind w:left="325" w:hanging="325" w:hangingChars="155"/>
              <w:rPr>
                <w:rFonts w:ascii="宋体" w:hAnsi="宋体"/>
                <w:kern w:val="0"/>
                <w:szCs w:val="21"/>
              </w:rPr>
            </w:pPr>
            <w:r>
              <w:rPr>
                <w:rFonts w:ascii="宋体" w:hAnsi="宋体"/>
                <w:szCs w:val="21"/>
              </w:rPr>
              <w:t>B</w:t>
            </w:r>
            <w:r>
              <w:rPr>
                <w:rFonts w:hint="eastAsia" w:ascii="宋体" w:hAnsi="宋体"/>
                <w:szCs w:val="21"/>
              </w:rPr>
              <w:t>8</w:t>
            </w:r>
            <w:r>
              <w:rPr>
                <w:rFonts w:hint="eastAsia" w:ascii="宋体" w:hAnsi="宋体"/>
                <w:kern w:val="0"/>
                <w:szCs w:val="21"/>
              </w:rPr>
              <w:t>完善经费投入机制</w:t>
            </w: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24</w:t>
            </w:r>
            <w:r>
              <w:rPr>
                <w:rFonts w:ascii="宋体" w:hAnsi="宋体"/>
                <w:kern w:val="0"/>
                <w:szCs w:val="21"/>
              </w:rPr>
              <w:t xml:space="preserve"> </w:t>
            </w:r>
            <w:r>
              <w:rPr>
                <w:rFonts w:hint="eastAsia" w:ascii="宋体" w:hAnsi="宋体"/>
                <w:kern w:val="0"/>
                <w:szCs w:val="21"/>
              </w:rPr>
              <w:t>合理保证中小学校公用经费中用于体育的支出，并随公用经费标准提高而逐步增加</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421" w:type="dxa"/>
            <w:vMerge w:val="restart"/>
            <w:tcBorders>
              <w:top w:val="single" w:color="auto" w:sz="4" w:space="0"/>
              <w:left w:val="single" w:color="auto" w:sz="4" w:space="0"/>
              <w:bottom w:val="single" w:color="auto" w:sz="4" w:space="0"/>
              <w:right w:val="single" w:color="auto" w:sz="4" w:space="0"/>
            </w:tcBorders>
            <w:vAlign w:val="center"/>
          </w:tcPr>
          <w:p>
            <w:pPr>
              <w:rPr>
                <w:b/>
                <w:kern w:val="0"/>
                <w:sz w:val="22"/>
              </w:rPr>
            </w:pPr>
            <w:r>
              <w:rPr>
                <w:b/>
                <w:kern w:val="0"/>
                <w:sz w:val="22"/>
              </w:rPr>
              <w:t>A4</w:t>
            </w:r>
          </w:p>
          <w:p>
            <w:pPr>
              <w:rPr>
                <w:kern w:val="0"/>
              </w:rPr>
            </w:pPr>
            <w:r>
              <w:rPr>
                <w:rFonts w:hint="eastAsia"/>
                <w:b/>
                <w:kern w:val="0"/>
                <w:sz w:val="22"/>
              </w:rPr>
              <w:t>评价考试</w:t>
            </w:r>
          </w:p>
        </w:tc>
        <w:tc>
          <w:tcPr>
            <w:tcW w:w="2231" w:type="dxa"/>
            <w:vMerge w:val="restart"/>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B</w:t>
            </w:r>
            <w:r>
              <w:rPr>
                <w:rFonts w:hint="eastAsia" w:ascii="宋体" w:hAnsi="宋体"/>
                <w:kern w:val="0"/>
                <w:szCs w:val="21"/>
              </w:rPr>
              <w:t>9</w:t>
            </w:r>
            <w:r>
              <w:rPr>
                <w:rFonts w:ascii="宋体" w:hAnsi="宋体"/>
                <w:kern w:val="0"/>
                <w:szCs w:val="21"/>
              </w:rPr>
              <w:t xml:space="preserve"> </w:t>
            </w:r>
            <w:r>
              <w:rPr>
                <w:rFonts w:hint="eastAsia" w:ascii="宋体" w:hAnsi="宋体"/>
                <w:kern w:val="0"/>
                <w:szCs w:val="21"/>
              </w:rPr>
              <w:t>建立学生升学体育考试制度</w:t>
            </w: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25</w:t>
            </w:r>
            <w:r>
              <w:rPr>
                <w:rFonts w:ascii="宋体" w:hAnsi="宋体"/>
                <w:kern w:val="0"/>
                <w:szCs w:val="21"/>
              </w:rPr>
              <w:t xml:space="preserve"> </w:t>
            </w:r>
            <w:r>
              <w:rPr>
                <w:rFonts w:hint="eastAsia" w:ascii="宋体" w:hAnsi="宋体"/>
                <w:kern w:val="0"/>
                <w:szCs w:val="21"/>
              </w:rPr>
              <w:t>全面实施初中毕业升学体育考试制度</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体育考试分</w:t>
            </w:r>
            <w:r>
              <w:rPr>
                <w:rFonts w:ascii="宋体" w:hAnsi="宋体"/>
                <w:kern w:val="0"/>
                <w:szCs w:val="21"/>
              </w:rPr>
              <w:t>/</w:t>
            </w:r>
            <w:r>
              <w:rPr>
                <w:rFonts w:hint="eastAsia" w:ascii="宋体" w:hAnsi="宋体"/>
                <w:kern w:val="0"/>
                <w:szCs w:val="21"/>
              </w:rPr>
              <w:t>中考成绩总分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26</w:t>
            </w:r>
            <w:r>
              <w:rPr>
                <w:rFonts w:ascii="宋体" w:hAnsi="宋体"/>
                <w:kern w:val="0"/>
                <w:szCs w:val="21"/>
              </w:rPr>
              <w:t xml:space="preserve"> </w:t>
            </w:r>
            <w:r>
              <w:rPr>
                <w:rFonts w:hint="eastAsia" w:ascii="宋体" w:hAnsi="宋体"/>
                <w:kern w:val="0"/>
                <w:szCs w:val="21"/>
              </w:rPr>
              <w:t>把学生参加体育活动情况、学生体质健康状况和运动技能等级纳入初中、高中学业水平考试，纳入学生综合素质评价体系</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rPr>
                <w:kern w:val="0"/>
              </w:rPr>
            </w:pPr>
          </w:p>
        </w:tc>
        <w:tc>
          <w:tcPr>
            <w:tcW w:w="223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B1</w:t>
            </w:r>
            <w:r>
              <w:rPr>
                <w:rFonts w:hint="eastAsia" w:ascii="宋体" w:hAnsi="宋体"/>
                <w:kern w:val="0"/>
                <w:szCs w:val="21"/>
              </w:rPr>
              <w:t>0</w:t>
            </w:r>
            <w:r>
              <w:rPr>
                <w:rFonts w:ascii="宋体" w:hAnsi="宋体"/>
                <w:kern w:val="0"/>
                <w:szCs w:val="21"/>
              </w:rPr>
              <w:t xml:space="preserve"> </w:t>
            </w:r>
            <w:r>
              <w:rPr>
                <w:rFonts w:hint="eastAsia" w:ascii="宋体" w:hAnsi="宋体"/>
                <w:kern w:val="0"/>
                <w:szCs w:val="21"/>
              </w:rPr>
              <w:t>建立学校体育工作报告制度</w:t>
            </w: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27</w:t>
            </w:r>
            <w:r>
              <w:rPr>
                <w:rFonts w:ascii="宋体" w:hAnsi="宋体"/>
                <w:kern w:val="0"/>
                <w:szCs w:val="21"/>
              </w:rPr>
              <w:t xml:space="preserve"> </w:t>
            </w:r>
            <w:r>
              <w:rPr>
                <w:rFonts w:hint="eastAsia" w:ascii="宋体" w:hAnsi="宋体"/>
                <w:kern w:val="0"/>
                <w:szCs w:val="21"/>
              </w:rPr>
              <w:t>结合实际编制和发布本地区学校体育工作年度报告</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21" w:type="dxa"/>
            <w:vMerge w:val="restart"/>
            <w:tcBorders>
              <w:top w:val="single" w:color="auto" w:sz="4" w:space="0"/>
              <w:left w:val="single" w:color="auto" w:sz="4" w:space="0"/>
              <w:right w:val="single" w:color="auto" w:sz="4" w:space="0"/>
            </w:tcBorders>
            <w:vAlign w:val="center"/>
          </w:tcPr>
          <w:p>
            <w:pPr>
              <w:rPr>
                <w:b/>
                <w:kern w:val="0"/>
                <w:sz w:val="22"/>
              </w:rPr>
            </w:pPr>
            <w:r>
              <w:rPr>
                <w:b/>
                <w:kern w:val="0"/>
                <w:sz w:val="22"/>
              </w:rPr>
              <w:t>A5</w:t>
            </w:r>
          </w:p>
          <w:p>
            <w:pPr>
              <w:rPr>
                <w:kern w:val="0"/>
              </w:rPr>
            </w:pPr>
            <w:r>
              <w:rPr>
                <w:rFonts w:hint="eastAsia"/>
                <w:b/>
                <w:kern w:val="0"/>
                <w:sz w:val="22"/>
              </w:rPr>
              <w:t>体质健康</w:t>
            </w:r>
          </w:p>
        </w:tc>
        <w:tc>
          <w:tcPr>
            <w:tcW w:w="2231" w:type="dxa"/>
            <w:vMerge w:val="restart"/>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B1</w:t>
            </w:r>
            <w:r>
              <w:rPr>
                <w:rFonts w:hint="eastAsia" w:ascii="宋体" w:hAnsi="宋体"/>
                <w:kern w:val="0"/>
                <w:szCs w:val="21"/>
              </w:rPr>
              <w:t>1体质监测</w:t>
            </w: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28</w:t>
            </w:r>
            <w:r>
              <w:rPr>
                <w:rFonts w:ascii="宋体" w:hAnsi="宋体"/>
                <w:kern w:val="0"/>
                <w:szCs w:val="21"/>
              </w:rPr>
              <w:t xml:space="preserve"> </w:t>
            </w:r>
            <w:r>
              <w:rPr>
                <w:rFonts w:hint="eastAsia" w:ascii="宋体" w:hAnsi="宋体"/>
                <w:kern w:val="0"/>
                <w:szCs w:val="21"/>
              </w:rPr>
              <w:t>全面实施《国家学生体质健康标准》，各学校每年对所有学生进行体质健康测试并如实上报数据</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1421" w:type="dxa"/>
            <w:vMerge w:val="continue"/>
            <w:tcBorders>
              <w:left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29</w:t>
            </w:r>
            <w:r>
              <w:rPr>
                <w:rFonts w:ascii="宋体" w:hAnsi="宋体"/>
                <w:kern w:val="0"/>
                <w:szCs w:val="21"/>
              </w:rPr>
              <w:t xml:space="preserve"> </w:t>
            </w:r>
            <w:r>
              <w:rPr>
                <w:rFonts w:hint="eastAsia" w:ascii="宋体" w:hAnsi="宋体"/>
                <w:kern w:val="0"/>
                <w:szCs w:val="21"/>
              </w:rPr>
              <w:t>国家学生体质健康标准达标率</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达标比率</w:t>
            </w:r>
          </w:p>
        </w:tc>
        <w:tc>
          <w:tcPr>
            <w:tcW w:w="23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p>
            <w:pPr>
              <w:spacing w:line="24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421" w:type="dxa"/>
            <w:vMerge w:val="continue"/>
            <w:tcBorders>
              <w:left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30</w:t>
            </w:r>
            <w:r>
              <w:rPr>
                <w:rFonts w:ascii="宋体" w:hAnsi="宋体"/>
                <w:kern w:val="0"/>
                <w:szCs w:val="21"/>
              </w:rPr>
              <w:t xml:space="preserve"> </w:t>
            </w:r>
            <w:r>
              <w:rPr>
                <w:rFonts w:hint="eastAsia" w:ascii="宋体" w:hAnsi="宋体"/>
                <w:kern w:val="0"/>
                <w:szCs w:val="21"/>
              </w:rPr>
              <w:t>各地结合本地实际按要求建立学生体质健康测试抽查复核工作机制。汇聚、分析和公布学生体质健康变化趋势。建立省级学生体质健康监测与公告制度</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421" w:type="dxa"/>
            <w:vMerge w:val="continue"/>
            <w:tcBorders>
              <w:left w:val="single" w:color="auto" w:sz="4" w:space="0"/>
              <w:right w:val="single" w:color="auto" w:sz="4" w:space="0"/>
            </w:tcBorders>
            <w:vAlign w:val="center"/>
          </w:tcPr>
          <w:p>
            <w:pPr>
              <w:rPr>
                <w:kern w:val="0"/>
              </w:rPr>
            </w:pPr>
          </w:p>
        </w:tc>
        <w:tc>
          <w:tcPr>
            <w:tcW w:w="223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C</w:t>
            </w:r>
            <w:r>
              <w:rPr>
                <w:rFonts w:hint="eastAsia" w:ascii="宋体" w:hAnsi="宋体"/>
                <w:kern w:val="0"/>
                <w:szCs w:val="21"/>
              </w:rPr>
              <w:t>31</w:t>
            </w:r>
            <w:r>
              <w:rPr>
                <w:rFonts w:ascii="宋体" w:hAnsi="宋体"/>
                <w:kern w:val="0"/>
                <w:szCs w:val="21"/>
              </w:rPr>
              <w:t xml:space="preserve"> </w:t>
            </w:r>
            <w:r>
              <w:rPr>
                <w:rFonts w:hint="eastAsia" w:ascii="宋体" w:hAnsi="宋体"/>
                <w:kern w:val="0"/>
                <w:szCs w:val="21"/>
              </w:rPr>
              <w:t>建立健全学生体质健康档案，将《国家学生体质健康标准》实施情况作为构建学校体育评价机制的重要基础</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是</w:t>
            </w:r>
            <w:r>
              <w:rPr>
                <w:rFonts w:ascii="宋体" w:hAnsi="宋体"/>
                <w:kern w:val="0"/>
                <w:szCs w:val="21"/>
              </w:rPr>
              <w:t>/</w:t>
            </w:r>
            <w:r>
              <w:rPr>
                <w:rFonts w:hint="eastAsia" w:ascii="宋体" w:hAnsi="宋体"/>
                <w:kern w:val="0"/>
                <w:szCs w:val="21"/>
              </w:rPr>
              <w:t>否</w:t>
            </w:r>
          </w:p>
        </w:tc>
        <w:tc>
          <w:tcPr>
            <w:tcW w:w="23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1421" w:type="dxa"/>
            <w:vMerge w:val="continue"/>
            <w:tcBorders>
              <w:left w:val="single" w:color="auto" w:sz="4" w:space="0"/>
              <w:right w:val="single" w:color="auto" w:sz="4" w:space="0"/>
            </w:tcBorders>
            <w:vAlign w:val="center"/>
          </w:tcPr>
          <w:p>
            <w:pPr>
              <w:rPr>
                <w:kern w:val="0"/>
              </w:rPr>
            </w:pPr>
          </w:p>
        </w:tc>
        <w:tc>
          <w:tcPr>
            <w:tcW w:w="2231" w:type="dxa"/>
            <w:vMerge w:val="restart"/>
            <w:tcBorders>
              <w:top w:val="single" w:color="auto" w:sz="4" w:space="0"/>
              <w:left w:val="single" w:color="auto" w:sz="4" w:space="0"/>
              <w:right w:val="single" w:color="auto" w:sz="4" w:space="0"/>
            </w:tcBorders>
            <w:vAlign w:val="center"/>
          </w:tcPr>
          <w:p>
            <w:pPr>
              <w:ind w:left="420" w:hanging="420" w:hangingChars="200"/>
              <w:rPr>
                <w:rFonts w:ascii="宋体" w:hAnsi="宋体"/>
                <w:kern w:val="0"/>
                <w:szCs w:val="21"/>
              </w:rPr>
            </w:pPr>
            <w:r>
              <w:rPr>
                <w:rFonts w:ascii="宋体" w:hAnsi="宋体"/>
                <w:kern w:val="0"/>
                <w:szCs w:val="21"/>
              </w:rPr>
              <w:t>B1</w:t>
            </w:r>
            <w:r>
              <w:rPr>
                <w:rFonts w:hint="eastAsia" w:ascii="宋体" w:hAnsi="宋体"/>
                <w:kern w:val="0"/>
                <w:szCs w:val="21"/>
              </w:rPr>
              <w:t>2卫生工作</w:t>
            </w:r>
          </w:p>
        </w:tc>
        <w:tc>
          <w:tcPr>
            <w:tcW w:w="652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C</w:t>
            </w:r>
            <w:r>
              <w:rPr>
                <w:rFonts w:hint="eastAsia" w:ascii="宋体" w:hAnsi="宋体"/>
                <w:kern w:val="0"/>
                <w:szCs w:val="21"/>
              </w:rPr>
              <w:t>32</w:t>
            </w:r>
            <w:r>
              <w:rPr>
                <w:rFonts w:ascii="宋体" w:hAnsi="宋体"/>
                <w:kern w:val="0"/>
                <w:szCs w:val="21"/>
              </w:rPr>
              <w:t xml:space="preserve"> </w:t>
            </w:r>
            <w:r>
              <w:rPr>
                <w:rFonts w:hint="eastAsia" w:ascii="宋体" w:hAnsi="宋体"/>
                <w:kern w:val="0"/>
                <w:szCs w:val="21"/>
              </w:rPr>
              <w:t>学生体检率</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体检学生数</w:t>
            </w:r>
            <w:r>
              <w:rPr>
                <w:rFonts w:ascii="宋体" w:hAnsi="宋体"/>
                <w:kern w:val="0"/>
                <w:szCs w:val="21"/>
              </w:rPr>
              <w:t>/</w:t>
            </w:r>
            <w:r>
              <w:rPr>
                <w:rFonts w:hint="eastAsia" w:ascii="宋体" w:hAnsi="宋体"/>
                <w:kern w:val="0"/>
                <w:szCs w:val="21"/>
              </w:rPr>
              <w:t>学生总数</w:t>
            </w:r>
          </w:p>
        </w:tc>
        <w:tc>
          <w:tcPr>
            <w:tcW w:w="23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18"/>
                <w:szCs w:val="18"/>
              </w:rPr>
            </w:pPr>
          </w:p>
          <w:p>
            <w:pPr>
              <w:spacing w:line="240" w:lineRule="exact"/>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421" w:type="dxa"/>
            <w:vMerge w:val="continue"/>
            <w:tcBorders>
              <w:left w:val="single" w:color="auto" w:sz="4" w:space="0"/>
              <w:right w:val="single" w:color="auto" w:sz="4" w:space="0"/>
            </w:tcBorders>
            <w:vAlign w:val="center"/>
          </w:tcPr>
          <w:p>
            <w:pPr>
              <w:rPr>
                <w:kern w:val="0"/>
              </w:rPr>
            </w:pPr>
          </w:p>
        </w:tc>
        <w:tc>
          <w:tcPr>
            <w:tcW w:w="2231" w:type="dxa"/>
            <w:vMerge w:val="continue"/>
            <w:tcBorders>
              <w:left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C</w:t>
            </w:r>
            <w:r>
              <w:rPr>
                <w:rFonts w:hint="eastAsia" w:ascii="宋体" w:hAnsi="宋体"/>
                <w:kern w:val="0"/>
                <w:szCs w:val="21"/>
              </w:rPr>
              <w:t>33</w:t>
            </w:r>
            <w:r>
              <w:rPr>
                <w:rFonts w:ascii="宋体" w:hAnsi="宋体"/>
                <w:kern w:val="0"/>
                <w:szCs w:val="21"/>
              </w:rPr>
              <w:t xml:space="preserve"> </w:t>
            </w:r>
            <w:r>
              <w:rPr>
                <w:rFonts w:hint="eastAsia" w:ascii="宋体" w:hAnsi="宋体"/>
                <w:kern w:val="0"/>
                <w:szCs w:val="21"/>
              </w:rPr>
              <w:t>学生视力状况监测率</w:t>
            </w:r>
          </w:p>
        </w:tc>
        <w:tc>
          <w:tcPr>
            <w:tcW w:w="2341"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年度进行学生视力监测次数</w:t>
            </w:r>
            <w:r>
              <w:rPr>
                <w:rFonts w:ascii="宋体" w:hAnsi="宋体"/>
                <w:kern w:val="0"/>
                <w:szCs w:val="21"/>
              </w:rPr>
              <w:t>/4</w:t>
            </w:r>
          </w:p>
        </w:tc>
        <w:tc>
          <w:tcPr>
            <w:tcW w:w="23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p>
            <w:pPr>
              <w:spacing w:line="24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trPr>
        <w:tc>
          <w:tcPr>
            <w:tcW w:w="1421" w:type="dxa"/>
            <w:vMerge w:val="continue"/>
            <w:tcBorders>
              <w:left w:val="single" w:color="auto" w:sz="4" w:space="0"/>
              <w:right w:val="single" w:color="auto" w:sz="4" w:space="0"/>
            </w:tcBorders>
            <w:vAlign w:val="center"/>
          </w:tcPr>
          <w:p>
            <w:pPr>
              <w:rPr>
                <w:kern w:val="0"/>
              </w:rPr>
            </w:pPr>
          </w:p>
        </w:tc>
        <w:tc>
          <w:tcPr>
            <w:tcW w:w="2231" w:type="dxa"/>
            <w:vMerge w:val="continue"/>
            <w:tcBorders>
              <w:left w:val="single" w:color="auto" w:sz="4" w:space="0"/>
              <w:right w:val="single" w:color="auto" w:sz="4" w:space="0"/>
            </w:tcBorders>
            <w:vAlign w:val="center"/>
          </w:tcPr>
          <w:p>
            <w:pPr>
              <w:rPr>
                <w:rFonts w:ascii="宋体" w:hAnsi="宋体"/>
                <w:kern w:val="0"/>
                <w:szCs w:val="21"/>
              </w:rPr>
            </w:pPr>
          </w:p>
        </w:tc>
        <w:tc>
          <w:tcPr>
            <w:tcW w:w="6521" w:type="dxa"/>
            <w:tcBorders>
              <w:top w:val="single" w:color="auto" w:sz="4" w:space="0"/>
              <w:left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C34学校安全饮水、卫生厕所达标率</w:t>
            </w:r>
          </w:p>
          <w:p>
            <w:pPr>
              <w:rPr>
                <w:rFonts w:ascii="宋体" w:hAnsi="宋体"/>
                <w:kern w:val="0"/>
                <w:szCs w:val="21"/>
              </w:rPr>
            </w:pPr>
          </w:p>
        </w:tc>
        <w:tc>
          <w:tcPr>
            <w:tcW w:w="2341" w:type="dxa"/>
            <w:tcBorders>
              <w:top w:val="single" w:color="auto" w:sz="4" w:space="0"/>
              <w:left w:val="single" w:color="auto" w:sz="4" w:space="0"/>
              <w:right w:val="single" w:color="auto" w:sz="4" w:space="0"/>
            </w:tcBorders>
            <w:vAlign w:val="center"/>
          </w:tcPr>
          <w:p>
            <w:pPr>
              <w:rPr>
                <w:rFonts w:hint="eastAsia" w:ascii="宋体" w:hAnsi="宋体"/>
                <w:kern w:val="0"/>
                <w:szCs w:val="21"/>
              </w:rPr>
            </w:pPr>
            <w:r>
              <w:rPr>
                <w:rFonts w:hint="eastAsia" w:ascii="宋体" w:hAnsi="宋体"/>
                <w:kern w:val="0"/>
                <w:szCs w:val="21"/>
              </w:rPr>
              <w:t>提供安全饮水学校数</w:t>
            </w:r>
            <w:r>
              <w:rPr>
                <w:rFonts w:ascii="宋体" w:hAnsi="宋体"/>
                <w:kern w:val="0"/>
                <w:szCs w:val="21"/>
              </w:rPr>
              <w:t>/</w:t>
            </w:r>
            <w:r>
              <w:rPr>
                <w:rFonts w:hint="eastAsia" w:ascii="宋体" w:hAnsi="宋体"/>
                <w:kern w:val="0"/>
                <w:szCs w:val="21"/>
              </w:rPr>
              <w:t>学校总数。卫生厕所达到《国家学校体育卫生条件试行基本标准》要求的学校数</w:t>
            </w:r>
            <w:r>
              <w:rPr>
                <w:rFonts w:ascii="宋体" w:hAnsi="宋体"/>
                <w:kern w:val="0"/>
                <w:szCs w:val="21"/>
              </w:rPr>
              <w:t>/</w:t>
            </w:r>
            <w:r>
              <w:rPr>
                <w:rFonts w:hint="eastAsia" w:ascii="宋体" w:hAnsi="宋体"/>
                <w:kern w:val="0"/>
                <w:szCs w:val="21"/>
              </w:rPr>
              <w:t>学校总数。相关数据分别统计。</w:t>
            </w:r>
          </w:p>
        </w:tc>
        <w:tc>
          <w:tcPr>
            <w:tcW w:w="2380" w:type="dxa"/>
            <w:tcBorders>
              <w:top w:val="single" w:color="auto" w:sz="4" w:space="0"/>
              <w:left w:val="single" w:color="auto" w:sz="4" w:space="0"/>
              <w:right w:val="single" w:color="auto" w:sz="4" w:space="0"/>
            </w:tcBorders>
            <w:vAlign w:val="center"/>
          </w:tcPr>
          <w:p>
            <w:pPr>
              <w:spacing w:line="240" w:lineRule="exact"/>
              <w:rPr>
                <w:rFonts w:hint="eastAsia" w:ascii="宋体" w:hAnsi="宋体"/>
                <w:kern w:val="0"/>
                <w:szCs w:val="21"/>
              </w:rPr>
            </w:pPr>
            <w:r>
              <w:rPr>
                <w:rFonts w:hint="eastAsia" w:ascii="宋体" w:hAnsi="宋体"/>
                <w:kern w:val="0"/>
                <w:szCs w:val="21"/>
              </w:rPr>
              <w:t>校园自备水源每年定期进行水质检测</w:t>
            </w:r>
          </w:p>
        </w:tc>
      </w:tr>
    </w:tbl>
    <w:p>
      <w:pPr>
        <w:ind w:firstLine="315"/>
        <w:rPr>
          <w:rFonts w:hint="eastAsia" w:ascii="宋体" w:hAnsi="宋体"/>
          <w:kern w:val="0"/>
          <w:szCs w:val="21"/>
        </w:rPr>
      </w:pPr>
    </w:p>
    <w:p/>
    <w:sectPr>
      <w:footerReference r:id="rId3"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15847"/>
    <w:rsid w:val="0561584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2017-04-10T06:40:00Z</dcterms:created>
  <dc:creator>dell</dc:creator>
  <cp:lastModifiedBy>dell</cp:lastModifiedBy>
  <dcterms:modified xsi:type="dcterms:W3CDTF">2017-04-10T06:40:33Z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